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jc w:val="center"/>
        <w:rPr>
          <w:rFonts w:cs="宋体" w:asciiTheme="minorEastAsia" w:hAnsiTheme="minorEastAsia"/>
          <w:sz w:val="48"/>
          <w:szCs w:val="48"/>
          <w:u w:val="single"/>
        </w:rPr>
      </w:pPr>
    </w:p>
    <w:p>
      <w:pPr>
        <w:pStyle w:val="8"/>
        <w:jc w:val="center"/>
        <w:rPr>
          <w:rFonts w:cs="宋体" w:asciiTheme="minorEastAsia" w:hAnsiTheme="minorEastAsia"/>
          <w:sz w:val="48"/>
          <w:szCs w:val="48"/>
          <w:u w:val="single"/>
        </w:rPr>
      </w:pPr>
    </w:p>
    <w:p>
      <w:pPr>
        <w:pStyle w:val="8"/>
        <w:jc w:val="center"/>
        <w:rPr>
          <w:rFonts w:cs="宋体" w:asciiTheme="minorEastAsia" w:hAnsiTheme="minorEastAsia"/>
          <w:sz w:val="48"/>
          <w:szCs w:val="48"/>
          <w:u w:val="single"/>
        </w:rPr>
      </w:pPr>
    </w:p>
    <w:p>
      <w:pPr>
        <w:pStyle w:val="8"/>
        <w:jc w:val="center"/>
        <w:rPr>
          <w:rFonts w:cs="宋体" w:asciiTheme="minorEastAsia" w:hAnsiTheme="minorEastAsia"/>
          <w:sz w:val="48"/>
          <w:szCs w:val="48"/>
          <w:u w:val="single"/>
        </w:rPr>
      </w:pPr>
    </w:p>
    <w:p>
      <w:pPr>
        <w:pStyle w:val="8"/>
        <w:jc w:val="center"/>
        <w:rPr>
          <w:rFonts w:cs="宋体" w:asciiTheme="minorEastAsia" w:hAnsiTheme="minorEastAsia"/>
          <w:sz w:val="48"/>
          <w:szCs w:val="48"/>
          <w:u w:val="single"/>
        </w:rPr>
      </w:pPr>
    </w:p>
    <w:p>
      <w:pP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2024年临江公司碱液脱酸系统备件采购项目</w:t>
      </w:r>
    </w:p>
    <w:p>
      <w:pP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pPr>
        <w:adjustRightInd w:val="0"/>
        <w:snapToGrid w:val="0"/>
        <w:spacing w:line="360" w:lineRule="auto"/>
        <w:jc w:val="center"/>
        <w:rPr>
          <w:rFonts w:hint="eastAsia" w:cs="宋体" w:asciiTheme="minorEastAsia" w:hAnsiTheme="minorEastAsia" w:eastAsiaTheme="minorEastAsia"/>
          <w:sz w:val="30"/>
          <w:szCs w:val="30"/>
          <w:lang w:eastAsia="zh-CN"/>
        </w:rPr>
      </w:pPr>
      <w:r>
        <w:rPr>
          <w:rFonts w:hint="eastAsia" w:cs="宋体" w:asciiTheme="minorEastAsia" w:hAnsiTheme="minorEastAsia"/>
          <w:sz w:val="30"/>
          <w:szCs w:val="30"/>
        </w:rPr>
        <w:t>编号：</w:t>
      </w:r>
      <w:r>
        <w:rPr>
          <w:rFonts w:hint="eastAsia" w:cs="宋体" w:asciiTheme="minorEastAsia" w:hAnsiTheme="minorEastAsia"/>
          <w:sz w:val="30"/>
          <w:szCs w:val="30"/>
          <w:u w:val="single"/>
          <w:lang w:eastAsia="zh-CN"/>
        </w:rPr>
        <w:t>202408021</w:t>
      </w:r>
    </w:p>
    <w:p>
      <w:pPr>
        <w:spacing w:line="360" w:lineRule="auto"/>
        <w:jc w:val="center"/>
        <w:rPr>
          <w:rFonts w:cs="仿宋" w:asciiTheme="minorEastAsia" w:hAnsiTheme="minorEastAsia"/>
          <w:b/>
          <w:bCs/>
          <w:sz w:val="72"/>
          <w:szCs w:val="72"/>
        </w:rPr>
      </w:pPr>
    </w:p>
    <w:p>
      <w:pPr>
        <w:pStyle w:val="6"/>
        <w:rPr>
          <w:rFonts w:asciiTheme="minorEastAsia" w:hAnsiTheme="minorEastAsia"/>
        </w:rPr>
      </w:pPr>
    </w:p>
    <w:p>
      <w:pPr>
        <w:spacing w:line="360" w:lineRule="auto"/>
        <w:jc w:val="center"/>
        <w:rPr>
          <w:rFonts w:cs="仿宋" w:asciiTheme="minorEastAsia" w:hAnsiTheme="minorEastAsia"/>
          <w:b/>
          <w:bCs/>
          <w:sz w:val="72"/>
          <w:szCs w:val="72"/>
        </w:rPr>
      </w:pPr>
    </w:p>
    <w:p>
      <w:pPr>
        <w:pStyle w:val="8"/>
      </w:pPr>
    </w:p>
    <w:p/>
    <w:p>
      <w:pPr>
        <w:pStyle w:val="8"/>
      </w:pPr>
    </w:p>
    <w:p/>
    <w:p>
      <w:pPr>
        <w:spacing w:line="360" w:lineRule="auto"/>
        <w:rPr>
          <w:rFonts w:cs="仿宋" w:asciiTheme="minorEastAsia" w:hAnsiTheme="minorEastAsia"/>
          <w:sz w:val="24"/>
        </w:rPr>
      </w:pPr>
    </w:p>
    <w:p>
      <w:pPr>
        <w:pStyle w:val="8"/>
        <w:rPr>
          <w:rFonts w:cs="仿宋" w:asciiTheme="minorEastAsia" w:hAnsiTheme="minorEastAsia"/>
          <w:sz w:val="24"/>
          <w:szCs w:val="24"/>
        </w:rPr>
      </w:pPr>
    </w:p>
    <w:p>
      <w:pPr>
        <w:pStyle w:val="8"/>
        <w:jc w:val="center"/>
        <w:rPr>
          <w:rFonts w:cs="仿宋" w:asciiTheme="minorEastAsia" w:hAnsiTheme="minorEastAsia"/>
          <w:sz w:val="24"/>
          <w:szCs w:val="24"/>
        </w:rPr>
      </w:pPr>
    </w:p>
    <w:p>
      <w:pP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pPr>
        <w:spacing w:line="360" w:lineRule="auto"/>
        <w:jc w:val="center"/>
        <w:rPr>
          <w:rFonts w:cs="仿宋" w:asciiTheme="minorEastAsia" w:hAnsiTheme="minorEastAsia"/>
          <w:b/>
          <w:sz w:val="24"/>
        </w:rPr>
      </w:pPr>
      <w:r>
        <w:rPr>
          <w:rFonts w:hint="eastAsia" w:cs="仿宋" w:asciiTheme="minorEastAsia" w:hAnsiTheme="minorEastAsia"/>
          <w:sz w:val="32"/>
          <w:szCs w:val="32"/>
          <w:lang w:eastAsia="zh-CN"/>
        </w:rPr>
        <w:t>2024年</w:t>
      </w:r>
      <w:r>
        <w:rPr>
          <w:rFonts w:hint="eastAsia" w:cs="仿宋" w:asciiTheme="minorEastAsia" w:hAnsiTheme="minorEastAsia"/>
          <w:sz w:val="32"/>
          <w:szCs w:val="32"/>
          <w:lang w:val="en-US" w:eastAsia="zh-CN"/>
        </w:rPr>
        <w:t>8</w:t>
      </w:r>
      <w:r>
        <w:rPr>
          <w:rFonts w:hint="eastAsia" w:cs="仿宋" w:asciiTheme="minorEastAsia" w:hAnsiTheme="minorEastAsia"/>
          <w:sz w:val="32"/>
          <w:szCs w:val="32"/>
        </w:rPr>
        <w:t>月</w:t>
      </w:r>
      <w:r>
        <w:rPr>
          <w:rFonts w:hint="eastAsia" w:cs="仿宋" w:asciiTheme="minorEastAsia" w:hAnsiTheme="minorEastAsia"/>
          <w:sz w:val="32"/>
          <w:szCs w:val="32"/>
          <w:lang w:val="en-US" w:eastAsia="zh-CN"/>
        </w:rPr>
        <w:t>22</w:t>
      </w:r>
      <w:r>
        <w:rPr>
          <w:rFonts w:hint="eastAsia" w:cs="仿宋" w:asciiTheme="minorEastAsia" w:hAnsiTheme="minorEastAsia"/>
          <w:sz w:val="32"/>
          <w:szCs w:val="32"/>
        </w:rPr>
        <w:t>日</w:t>
      </w:r>
    </w:p>
    <w:p>
      <w:pPr>
        <w:spacing w:line="360" w:lineRule="auto"/>
        <w:ind w:firstLine="602" w:firstLineChars="200"/>
        <w:jc w:val="center"/>
        <w:rPr>
          <w:rFonts w:cs="仿宋" w:asciiTheme="minorEastAsia" w:hAnsiTheme="minorEastAsia"/>
          <w:b/>
          <w:sz w:val="30"/>
          <w:szCs w:val="30"/>
        </w:rPr>
      </w:pPr>
    </w:p>
    <w:p>
      <w:pP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pP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pP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sz w:val="32"/>
          <w:szCs w:val="32"/>
        </w:rPr>
        <w:t>第六部分      应提交的有关格式范例</w:t>
      </w:r>
    </w:p>
    <w:p>
      <w:pP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pPr>
        <w:pBdr>
          <w:top w:val="single" w:color="auto" w:sz="4" w:space="1"/>
          <w:left w:val="single" w:color="auto" w:sz="4" w:space="4"/>
          <w:bottom w:val="single" w:color="auto" w:sz="4" w:space="1"/>
          <w:right w:val="single" w:color="auto" w:sz="4" w:space="4"/>
        </w:pBdr>
        <w:spacing w:line="460" w:lineRule="exact"/>
        <w:rPr>
          <w:rFonts w:cs="仿宋" w:asciiTheme="minorEastAsia" w:hAnsiTheme="minorEastAsia"/>
          <w:sz w:val="24"/>
        </w:rPr>
      </w:pPr>
      <w:bookmarkStart w:id="1" w:name="_Toc35393621"/>
      <w:bookmarkStart w:id="2" w:name="_Toc35393790"/>
      <w:bookmarkStart w:id="3" w:name="_Toc28359002"/>
      <w:bookmarkStart w:id="4" w:name="_Toc28359079"/>
      <w:bookmarkStart w:id="5" w:name="_Hlk24379207"/>
      <w:r>
        <w:rPr>
          <w:rFonts w:hint="eastAsia" w:cs="仿宋" w:asciiTheme="minorEastAsia" w:hAnsiTheme="minorEastAsia"/>
          <w:b/>
          <w:bCs/>
          <w:sz w:val="24"/>
        </w:rPr>
        <w:t>项目概况</w:t>
      </w:r>
      <w:r>
        <w:rPr>
          <w:rFonts w:hint="eastAsia" w:cs="仿宋" w:asciiTheme="minorEastAsia" w:hAnsiTheme="minorEastAsia"/>
          <w:b/>
          <w:bCs/>
          <w:sz w:val="24"/>
          <w:lang w:eastAsia="zh-CN"/>
        </w:rPr>
        <w:t>：</w:t>
      </w:r>
    </w:p>
    <w:p>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2024年临江公司碱液脱酸系统备件采购项目</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w:t>
      </w:r>
      <w:r>
        <w:rPr>
          <w:rFonts w:hint="eastAsia" w:cs="仿宋" w:asciiTheme="minorEastAsia" w:hAnsiTheme="minorEastAsia"/>
          <w:sz w:val="24"/>
          <w:lang w:val="en-US" w:eastAsia="zh-CN"/>
        </w:rPr>
        <w:t>该</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pPr>
        <w:pStyle w:val="3"/>
        <w:spacing w:line="240" w:lineRule="auto"/>
        <w:ind w:firstLine="482" w:firstLineChars="200"/>
        <w:rPr>
          <w:rFonts w:cs="仿宋" w:asciiTheme="minorEastAsia" w:hAnsiTheme="minorEastAsia" w:eastAsiaTheme="minorEastAsia"/>
          <w:bCs w:val="0"/>
          <w:sz w:val="24"/>
          <w:szCs w:val="24"/>
        </w:rPr>
      </w:pPr>
      <w:r>
        <w:rPr>
          <w:rFonts w:hint="eastAsia" w:cs="仿宋" w:asciiTheme="minorEastAsia" w:hAnsiTheme="minorEastAsia" w:eastAsiaTheme="minorEastAsia"/>
          <w:bCs w:val="0"/>
          <w:sz w:val="24"/>
          <w:szCs w:val="24"/>
        </w:rPr>
        <w:t>一、项目基本情况</w:t>
      </w:r>
      <w:bookmarkEnd w:id="1"/>
      <w:bookmarkEnd w:id="2"/>
      <w:bookmarkEnd w:id="3"/>
      <w:bookmarkEnd w:id="4"/>
    </w:p>
    <w:p>
      <w:pPr>
        <w:spacing w:line="360" w:lineRule="auto"/>
        <w:ind w:firstLine="482" w:firstLineChars="200"/>
        <w:rPr>
          <w:rFonts w:hint="eastAsia" w:cs="仿宋" w:asciiTheme="minorEastAsia" w:hAnsiTheme="minorEastAsia" w:eastAsiaTheme="minorEastAsia"/>
          <w:sz w:val="24"/>
          <w:u w:val="single"/>
          <w:lang w:eastAsia="zh-CN"/>
        </w:rPr>
      </w:pPr>
      <w:r>
        <w:rPr>
          <w:rFonts w:hint="eastAsia" w:cs="仿宋" w:asciiTheme="minorEastAsia" w:hAnsiTheme="minorEastAsia"/>
          <w:b/>
          <w:bCs/>
          <w:sz w:val="24"/>
        </w:rPr>
        <w:t>1.项目编号：</w:t>
      </w:r>
      <w:r>
        <w:rPr>
          <w:rFonts w:hint="eastAsia" w:cs="仿宋" w:asciiTheme="minorEastAsia" w:hAnsiTheme="minorEastAsia"/>
          <w:sz w:val="24"/>
          <w:u w:val="single"/>
          <w:lang w:eastAsia="zh-CN"/>
        </w:rPr>
        <w:t>202408021</w:t>
      </w:r>
    </w:p>
    <w:p>
      <w:pP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cs="仿宋" w:asciiTheme="minorEastAsia" w:hAnsiTheme="minorEastAsia"/>
          <w:sz w:val="24"/>
          <w:u w:val="single"/>
        </w:rPr>
        <w:t xml:space="preserve"> </w:t>
      </w:r>
      <w:r>
        <w:rPr>
          <w:rFonts w:hint="eastAsia" w:cs="仿宋" w:asciiTheme="minorEastAsia" w:hAnsiTheme="minorEastAsia"/>
          <w:sz w:val="24"/>
          <w:u w:val="single"/>
          <w:lang w:eastAsia="zh-CN"/>
        </w:rPr>
        <w:t>2024年临江公司碱液脱酸系统备件采购项目</w:t>
      </w:r>
      <w:r>
        <w:rPr>
          <w:rFonts w:cs="仿宋" w:asciiTheme="minorEastAsia" w:hAnsiTheme="minorEastAsia"/>
          <w:sz w:val="24"/>
          <w:u w:val="single"/>
        </w:rPr>
        <w:t xml:space="preserve"> </w:t>
      </w:r>
    </w:p>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4.最高限价：</w:t>
      </w:r>
      <w:r>
        <w:rPr>
          <w:rFonts w:hint="eastAsia" w:cs="仿宋" w:asciiTheme="minorEastAsia" w:hAnsiTheme="minorEastAsia"/>
          <w:b w:val="0"/>
          <w:bCs w:val="0"/>
          <w:sz w:val="24"/>
          <w:szCs w:val="24"/>
          <w:highlight w:val="none"/>
          <w:u w:val="single"/>
          <w:lang w:val="en-US" w:eastAsia="zh-CN"/>
        </w:rPr>
        <w:t>26.5</w:t>
      </w:r>
      <w:r>
        <w:rPr>
          <w:rFonts w:hint="eastAsia" w:cs="仿宋" w:asciiTheme="minorEastAsia" w:hAnsiTheme="minorEastAsia"/>
          <w:b w:val="0"/>
          <w:bCs w:val="0"/>
          <w:sz w:val="24"/>
          <w:szCs w:val="24"/>
          <w:u w:val="single"/>
        </w:rPr>
        <w:t>万元</w:t>
      </w:r>
    </w:p>
    <w:p>
      <w:pPr>
        <w:spacing w:line="360" w:lineRule="auto"/>
        <w:ind w:firstLine="482" w:firstLineChars="200"/>
        <w:rPr>
          <w:rFonts w:hAnsi="宋体" w:cs="宋体"/>
          <w:bCs/>
          <w:sz w:val="24"/>
        </w:rPr>
      </w:pPr>
      <w:r>
        <w:rPr>
          <w:rFonts w:hint="eastAsia" w:cs="仿宋" w:asciiTheme="minorEastAsia" w:hAnsiTheme="minorEastAsia"/>
          <w:b/>
          <w:bCs/>
          <w:sz w:val="24"/>
        </w:rPr>
        <w:t>5.采购需求：</w:t>
      </w:r>
    </w:p>
    <w:p>
      <w:pPr>
        <w:spacing w:line="360" w:lineRule="auto"/>
        <w:ind w:firstLine="480" w:firstLineChars="200"/>
        <w:rPr>
          <w:rFonts w:hAnsi="宋体"/>
          <w:sz w:val="24"/>
        </w:rPr>
      </w:pPr>
      <w:r>
        <w:rPr>
          <w:rFonts w:hint="eastAsia" w:hAnsi="宋体" w:cs="宋体"/>
          <w:bCs/>
          <w:sz w:val="24"/>
        </w:rPr>
        <w:t>杭州临江环境能源有限公司因日常生产需要，需采购</w:t>
      </w:r>
      <w:r>
        <w:rPr>
          <w:rFonts w:hint="eastAsia" w:cs="仿宋" w:asciiTheme="minorEastAsia" w:hAnsiTheme="minorEastAsia"/>
          <w:sz w:val="24"/>
          <w:u w:val="single"/>
          <w:lang w:eastAsia="zh-CN"/>
        </w:rPr>
        <w:t>碱液脱酸系统备件</w:t>
      </w:r>
      <w:r>
        <w:rPr>
          <w:rFonts w:hint="eastAsia" w:hAnsi="宋体" w:cs="宋体"/>
          <w:bCs/>
          <w:sz w:val="24"/>
        </w:rPr>
        <w:t>一批。</w:t>
      </w:r>
      <w:r>
        <w:rPr>
          <w:rFonts w:hint="eastAsia" w:cs="仿宋" w:asciiTheme="minorEastAsia" w:hAnsiTheme="minorEastAsia"/>
          <w:sz w:val="24"/>
        </w:rPr>
        <w:t>具体要求以询价通知书第三部分采购需求为准。</w:t>
      </w:r>
    </w:p>
    <w:p>
      <w:pPr>
        <w:spacing w:line="360" w:lineRule="auto"/>
        <w:ind w:firstLine="480" w:firstLineChars="200"/>
        <w:rPr>
          <w:rFonts w:cs="仿宋" w:asciiTheme="minorEastAsia" w:hAnsiTheme="minorEastAsia"/>
          <w:sz w:val="24"/>
          <w:u w:val="single"/>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sz w:val="24"/>
          <w:u w:val="single"/>
        </w:rPr>
        <w:t xml:space="preserve"> </w:t>
      </w:r>
      <w:r>
        <w:rPr>
          <w:rFonts w:hint="eastAsia" w:cs="仿宋" w:asciiTheme="minorEastAsia" w:hAnsiTheme="minorEastAsia"/>
          <w:sz w:val="24"/>
          <w:u w:val="single"/>
          <w:lang w:val="en-US" w:eastAsia="zh-CN"/>
        </w:rPr>
        <w:t>自合同签订生效后30天内完成</w:t>
      </w:r>
      <w:r>
        <w:rPr>
          <w:rFonts w:hint="eastAsia" w:cs="仿宋" w:asciiTheme="minorEastAsia" w:hAnsiTheme="minorEastAsia"/>
          <w:sz w:val="24"/>
          <w:u w:val="single"/>
        </w:rPr>
        <w:t>供货</w:t>
      </w:r>
      <w:r>
        <w:rPr>
          <w:rFonts w:hint="eastAsia" w:cs="仿宋" w:asciiTheme="minorEastAsia" w:hAnsiTheme="minorEastAsia"/>
          <w:sz w:val="24"/>
          <w:u w:val="single"/>
          <w:lang w:val="en-US" w:eastAsia="zh-CN"/>
        </w:rPr>
        <w:t>及安装调试</w:t>
      </w:r>
      <w:r>
        <w:rPr>
          <w:rFonts w:hint="eastAsia" w:cs="仿宋" w:asciiTheme="minorEastAsia" w:hAnsiTheme="minorEastAsia"/>
          <w:sz w:val="24"/>
          <w:u w:val="single"/>
        </w:rPr>
        <w:t>。</w:t>
      </w:r>
    </w:p>
    <w:p>
      <w:pP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pPr>
        <w:spacing w:line="360" w:lineRule="auto"/>
        <w:ind w:firstLine="482" w:firstLineChars="200"/>
        <w:rPr>
          <w:rFonts w:cs="仿宋" w:asciiTheme="minorEastAsia" w:hAnsiTheme="minorEastAsia"/>
          <w:b/>
          <w:bCs/>
          <w:sz w:val="24"/>
        </w:rPr>
      </w:pPr>
      <w:bookmarkStart w:id="6" w:name="_Toc35393622"/>
      <w:bookmarkStart w:id="7" w:name="_Toc28359080"/>
      <w:bookmarkStart w:id="8" w:name="_Toc28359003"/>
      <w:bookmarkStart w:id="9" w:name="_Toc35393791"/>
      <w:r>
        <w:rPr>
          <w:rFonts w:hint="eastAsia" w:cs="仿宋" w:asciiTheme="minorEastAsia" w:hAnsiTheme="minorEastAsia"/>
          <w:b/>
          <w:bCs/>
          <w:sz w:val="24"/>
        </w:rPr>
        <w:t>二、供应商的资格要求：</w:t>
      </w:r>
      <w:bookmarkEnd w:id="6"/>
      <w:bookmarkEnd w:id="7"/>
      <w:bookmarkEnd w:id="8"/>
      <w:bookmarkEnd w:id="9"/>
      <w:bookmarkStart w:id="10" w:name="_Toc35393792"/>
      <w:bookmarkStart w:id="11" w:name="_Toc35393623"/>
      <w:bookmarkStart w:id="12" w:name="_Toc28359004"/>
      <w:bookmarkStart w:id="13" w:name="_Toc28359081"/>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1.供应商必须是在中华人民共和国境内注册，具有独立</w:t>
      </w:r>
      <w:r>
        <w:rPr>
          <w:rFonts w:hint="eastAsia" w:cs="仿宋" w:asciiTheme="minorEastAsia" w:hAnsiTheme="minorEastAsia"/>
          <w:bCs/>
          <w:sz w:val="24"/>
          <w:highlight w:val="none"/>
        </w:rPr>
        <w:t>法人资格</w:t>
      </w:r>
      <w:r>
        <w:rPr>
          <w:rFonts w:hint="eastAsia" w:cs="仿宋" w:asciiTheme="minorEastAsia" w:hAnsiTheme="minorEastAsia"/>
          <w:bCs/>
          <w:sz w:val="24"/>
        </w:rPr>
        <w:t>和独立承担民事责任的能力，有能力提供货物。</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www.creditchina.gov.cn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、中国政府采购网</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www.ccgp.gov.cn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pPr>
        <w:spacing w:line="360" w:lineRule="auto"/>
        <w:ind w:firstLine="480" w:firstLineChars="200"/>
        <w:rPr>
          <w:rFonts w:hint="default" w:cs="仿宋" w:asciiTheme="minorEastAsia" w:hAnsiTheme="minorEastAsia" w:eastAsiaTheme="minorEastAsia"/>
          <w:bCs/>
          <w:sz w:val="24"/>
          <w:u w:val="single"/>
          <w:lang w:val="en-US" w:eastAsia="zh-CN"/>
        </w:rPr>
      </w:pPr>
      <w:r>
        <w:rPr>
          <w:rFonts w:hint="eastAsia" w:cs="仿宋" w:asciiTheme="minorEastAsia" w:hAnsiTheme="minorEastAsia"/>
          <w:bCs/>
          <w:sz w:val="24"/>
        </w:rPr>
        <w:t>3.业绩要求：</w:t>
      </w:r>
      <w:r>
        <w:rPr>
          <w:rFonts w:hint="eastAsia" w:cs="仿宋" w:asciiTheme="minorEastAsia" w:hAnsiTheme="minorEastAsia"/>
          <w:bCs/>
          <w:sz w:val="24"/>
          <w:u w:val="single"/>
        </w:rPr>
        <w:t xml:space="preserve"> </w:t>
      </w:r>
      <w:r>
        <w:rPr>
          <w:rFonts w:hint="eastAsia" w:cs="仿宋" w:asciiTheme="minorEastAsia" w:hAnsiTheme="minorEastAsia"/>
          <w:bCs/>
          <w:sz w:val="24"/>
          <w:highlight w:val="none"/>
          <w:u w:val="single"/>
          <w:lang w:val="en-US" w:eastAsia="zh-CN"/>
        </w:rPr>
        <w:t>/。</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4.供应商不得为杭州市环境集团有限公司不合格供应商或者在黑名单之内。</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 xml:space="preserve">5.供应商负责人为同一人或者存在控股、管理关系的不同单位，不得同时参加本项目。  </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6.供应商须提供其股东信息及出资比例信息。</w:t>
      </w:r>
    </w:p>
    <w:p>
      <w:pPr>
        <w:spacing w:line="360" w:lineRule="auto"/>
        <w:ind w:firstLine="480" w:firstLineChars="200"/>
        <w:rPr>
          <w:rFonts w:cs="仿宋" w:asciiTheme="minorEastAsia" w:hAnsiTheme="minorEastAsia"/>
          <w:bCs/>
          <w:sz w:val="24"/>
          <w:u w:val="single"/>
        </w:rPr>
      </w:pPr>
      <w:r>
        <w:rPr>
          <w:rFonts w:cs="仿宋" w:asciiTheme="minorEastAsia" w:hAnsiTheme="minorEastAsia"/>
          <w:bCs/>
          <w:sz w:val="24"/>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0"/>
      <w:bookmarkEnd w:id="11"/>
      <w:bookmarkEnd w:id="12"/>
      <w:bookmarkEnd w:id="13"/>
      <w:r>
        <w:rPr>
          <w:rFonts w:hint="eastAsia" w:cs="仿宋" w:asciiTheme="minorEastAsia" w:hAnsiTheme="minorEastAsia"/>
          <w:b/>
          <w:bCs/>
          <w:sz w:val="24"/>
        </w:rPr>
        <w:t>获取（下载）询价采购文件</w:t>
      </w:r>
    </w:p>
    <w:p>
      <w:pPr>
        <w:pStyle w:val="3"/>
        <w:spacing w:before="0" w:after="0" w:line="360" w:lineRule="auto"/>
        <w:ind w:firstLine="480" w:firstLineChars="200"/>
        <w:rPr>
          <w:rFonts w:cs="仿宋" w:asciiTheme="minorEastAsia" w:hAnsiTheme="minorEastAsia" w:eastAsiaTheme="minorEastAsia"/>
          <w:b w:val="0"/>
          <w:sz w:val="24"/>
          <w:szCs w:val="24"/>
        </w:rPr>
      </w:pPr>
      <w:bookmarkStart w:id="14" w:name="_Toc28359082"/>
      <w:bookmarkStart w:id="15" w:name="_Toc28359005"/>
      <w:bookmarkStart w:id="16" w:name="_Toc35393624"/>
      <w:bookmarkStart w:id="17" w:name="_Toc35393793"/>
      <w:r>
        <w:rPr>
          <w:rFonts w:hint="eastAsia" w:cs="仿宋" w:asciiTheme="minorEastAsia" w:hAnsiTheme="minorEastAsia" w:eastAsiaTheme="minorEastAsia"/>
          <w:b w:val="0"/>
          <w:sz w:val="24"/>
          <w:szCs w:val="24"/>
        </w:rPr>
        <w:t xml:space="preserve">1.时间：报价截止时间前。   </w:t>
      </w:r>
    </w:p>
    <w:p>
      <w:pPr>
        <w:pStyle w:val="3"/>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pPr>
        <w:pStyle w:val="3"/>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4"/>
    <w:bookmarkEnd w:id="15"/>
    <w:bookmarkEnd w:id="16"/>
    <w:bookmarkEnd w:id="17"/>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1.截止时间：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08</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29</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15</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2.递交地点：杭州市钱塘区临江街道红十五线与观十五线交叉口（杭州临江环境能源有限公司科研楼二楼开评标室）。</w:t>
      </w:r>
    </w:p>
    <w:p>
      <w:pPr>
        <w:spacing w:line="360" w:lineRule="auto"/>
        <w:ind w:firstLine="480" w:firstLineChars="200"/>
      </w:pPr>
      <w:r>
        <w:rPr>
          <w:rFonts w:hint="eastAsia" w:cs="仿宋" w:asciiTheme="minorEastAsia" w:hAnsiTheme="minorEastAsia"/>
          <w:sz w:val="24"/>
        </w:rPr>
        <w:t>3</w:t>
      </w:r>
      <w:r>
        <w:rPr>
          <w:rFonts w:hint="eastAsia" w:cs="仿宋" w:asciiTheme="minorEastAsia" w:hAnsiTheme="minorEastAsia"/>
          <w:sz w:val="24"/>
          <w:lang w:val="en-US" w:eastAsia="zh-CN"/>
        </w:rPr>
        <w:t>.</w:t>
      </w:r>
      <w:r>
        <w:rPr>
          <w:rFonts w:hint="eastAsia" w:cs="仿宋" w:asciiTheme="minorEastAsia" w:hAnsiTheme="minorEastAsia"/>
          <w:sz w:val="24"/>
        </w:rPr>
        <w:t>递交方式：响应文件可采用现场递交或者邮寄方式其中任何一种方式。</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六、响应文件开启</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1.开启时间：</w:t>
      </w:r>
      <w:r>
        <w:rPr>
          <w:rFonts w:hint="eastAsia" w:cs="仿宋" w:asciiTheme="minorEastAsia" w:hAnsiTheme="minorEastAsia"/>
          <w:sz w:val="24"/>
          <w:u w:val="single"/>
          <w:lang w:eastAsia="zh-CN"/>
        </w:rPr>
        <w:t>2024年</w:t>
      </w:r>
      <w:r>
        <w:rPr>
          <w:rFonts w:hint="eastAsia" w:cs="仿宋" w:asciiTheme="minorEastAsia" w:hAnsiTheme="minorEastAsia"/>
          <w:bCs/>
          <w:sz w:val="24"/>
          <w:u w:val="single"/>
          <w:lang w:val="en-US" w:eastAsia="zh-CN"/>
        </w:rPr>
        <w:t>08</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29</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15</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当日9:10之前在杭州临江环境能源有限公司网站公示，请各供应商及时关注进入会场。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pP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pP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non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联系人：</w:t>
      </w:r>
      <w:r>
        <w:rPr>
          <w:rFonts w:hint="eastAsia" w:cs="仿宋" w:asciiTheme="minorEastAsia" w:hAnsiTheme="minorEastAsia"/>
          <w:sz w:val="24"/>
          <w:highlight w:val="none"/>
          <w:lang w:val="en-US" w:eastAsia="zh-CN"/>
        </w:rPr>
        <w:t>陈</w:t>
      </w:r>
      <w:r>
        <w:rPr>
          <w:rFonts w:hint="eastAsia" w:cs="仿宋" w:asciiTheme="minorEastAsia" w:hAnsiTheme="minorEastAsia"/>
          <w:sz w:val="24"/>
          <w:highlight w:val="none"/>
        </w:rPr>
        <w:t xml:space="preserve">工 </w:t>
      </w:r>
      <w:r>
        <w:rPr>
          <w:rFonts w:hint="eastAsia" w:cs="仿宋" w:asciiTheme="minorEastAsia" w:hAnsiTheme="minorEastAsia"/>
          <w:sz w:val="24"/>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rPr>
      </w:pPr>
      <w:r>
        <w:rPr>
          <w:rFonts w:hint="eastAsia" w:cs="仿宋" w:asciiTheme="minorEastAsia" w:hAnsiTheme="minorEastAsia"/>
          <w:b/>
          <w:bCs/>
          <w:color w:val="auto"/>
          <w:sz w:val="24"/>
          <w:lang w:val="en-US" w:eastAsia="zh-CN"/>
        </w:rPr>
        <w:t>十</w:t>
      </w:r>
      <w:r>
        <w:rPr>
          <w:rFonts w:hint="eastAsia" w:cs="仿宋" w:asciiTheme="minorEastAsia" w:hAnsiTheme="minorEastAsia"/>
          <w:b/>
          <w:bCs/>
          <w:color w:val="auto"/>
          <w:sz w:val="24"/>
          <w:lang w:eastAsia="zh-CN"/>
        </w:rPr>
        <w:t>、</w:t>
      </w:r>
      <w:r>
        <w:rPr>
          <w:rFonts w:hint="eastAsia" w:cs="仿宋" w:asciiTheme="minorEastAsia" w:hAnsiTheme="minorEastAsia"/>
          <w:b/>
          <w:bCs/>
          <w:color w:val="auto"/>
          <w:sz w:val="24"/>
        </w:rPr>
        <w:t>监督部门</w:t>
      </w:r>
    </w:p>
    <w:p>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lang w:eastAsia="zh-CN"/>
        </w:rPr>
        <w:t>联系人</w:t>
      </w:r>
      <w:r>
        <w:rPr>
          <w:rFonts w:hint="eastAsia" w:cs="仿宋" w:asciiTheme="minorEastAsia" w:hAnsiTheme="minorEastAsia"/>
          <w:color w:val="auto"/>
          <w:sz w:val="24"/>
        </w:rPr>
        <w:t xml:space="preserve">：李文拓 </w:t>
      </w:r>
      <w:r>
        <w:rPr>
          <w:rFonts w:hint="eastAsia" w:cs="仿宋" w:asciiTheme="minorEastAsia" w:hAnsiTheme="minorEastAsia"/>
          <w:color w:val="auto"/>
          <w:sz w:val="24"/>
          <w:lang w:val="en-US" w:eastAsia="zh-CN"/>
        </w:rPr>
        <w:t xml:space="preserve">      </w:t>
      </w:r>
      <w:r>
        <w:rPr>
          <w:rFonts w:hint="eastAsia" w:cs="仿宋" w:asciiTheme="minorEastAsia" w:hAnsiTheme="minorEastAsia"/>
          <w:color w:val="auto"/>
          <w:sz w:val="24"/>
        </w:rPr>
        <w:t>联系电话：15636132687</w:t>
      </w:r>
    </w:p>
    <w:p>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p>
    <w:p>
      <w:pPr>
        <w:pageBreakBefore w:val="0"/>
        <w:widowControl w:val="0"/>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b/>
          <w:bCs/>
          <w:color w:val="auto"/>
          <w:sz w:val="24"/>
        </w:rPr>
      </w:pPr>
      <w:r>
        <w:rPr>
          <w:rFonts w:hint="eastAsia" w:cs="仿宋" w:asciiTheme="minorEastAsia" w:hAnsiTheme="minorEastAsia"/>
          <w:color w:val="auto"/>
          <w:sz w:val="24"/>
          <w:lang w:val="en-US" w:eastAsia="zh-CN"/>
        </w:rPr>
        <w:t>2024</w:t>
      </w:r>
      <w:r>
        <w:rPr>
          <w:rFonts w:hint="default" w:cs="仿宋" w:asciiTheme="minorEastAsia" w:hAnsiTheme="minorEastAsia"/>
          <w:color w:val="auto"/>
          <w:sz w:val="24"/>
          <w:lang w:val="en-US"/>
        </w:rPr>
        <w:t>年</w:t>
      </w:r>
      <w:r>
        <w:rPr>
          <w:rFonts w:hint="eastAsia" w:cs="仿宋" w:asciiTheme="minorEastAsia" w:hAnsiTheme="minorEastAsia"/>
          <w:color w:val="auto"/>
          <w:sz w:val="24"/>
          <w:lang w:val="en-US" w:eastAsia="zh-CN"/>
        </w:rPr>
        <w:t>08月22</w:t>
      </w:r>
      <w:r>
        <w:rPr>
          <w:rFonts w:hint="eastAsia" w:cs="仿宋" w:asciiTheme="minorEastAsia" w:hAnsiTheme="minorEastAsia"/>
          <w:color w:val="auto"/>
          <w:sz w:val="24"/>
        </w:rPr>
        <w:t>日</w:t>
      </w: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pPr>
        <w:spacing w:line="460" w:lineRule="exact"/>
        <w:ind w:firstLine="643" w:firstLineChars="200"/>
        <w:jc w:val="center"/>
        <w:rPr>
          <w:rFonts w:cs="仿宋" w:asciiTheme="minorEastAsia" w:hAnsiTheme="minorEastAsia"/>
          <w:b/>
          <w:sz w:val="24"/>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34"/>
        <w:gridCol w:w="64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72"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34" w:type="dxa"/>
            <w:tcBorders>
              <w:top w:val="single" w:color="000000" w:sz="8" w:space="0"/>
              <w:left w:val="single" w:color="auto" w:sz="4" w:space="0"/>
              <w:bottom w:val="single" w:color="000000" w:sz="8" w:space="0"/>
              <w:right w:val="single" w:color="000000" w:sz="8" w:space="0"/>
            </w:tcBorders>
            <w:vAlign w:val="center"/>
          </w:tcPr>
          <w:p>
            <w:pPr>
              <w:pStyle w:val="18"/>
              <w:adjustRightInd w:val="0"/>
              <w:snapToGrid w:val="0"/>
              <w:spacing w:line="400" w:lineRule="exact"/>
              <w:jc w:val="center"/>
              <w:rPr>
                <w:b/>
                <w:color w:val="auto"/>
                <w:szCs w:val="21"/>
              </w:rPr>
            </w:pPr>
            <w:r>
              <w:rPr>
                <w:rFonts w:hint="eastAsia"/>
                <w:b/>
                <w:snapToGrid w:val="0"/>
                <w:color w:val="auto"/>
                <w:szCs w:val="21"/>
              </w:rPr>
              <w:t>项目概况</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color w:val="auto"/>
                <w:szCs w:val="21"/>
              </w:rPr>
            </w:pPr>
            <w:r>
              <w:rPr>
                <w:rFonts w:hint="eastAsia"/>
                <w:snapToGrid w:val="0"/>
                <w:color w:val="auto"/>
                <w:szCs w:val="21"/>
              </w:rPr>
              <w:t>详见采购公告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34" w:type="dxa"/>
            <w:tcBorders>
              <w:top w:val="single" w:color="000000" w:sz="8" w:space="0"/>
              <w:left w:val="single" w:color="auto" w:sz="4" w:space="0"/>
              <w:bottom w:val="single" w:color="000000" w:sz="8" w:space="0"/>
              <w:right w:val="single" w:color="000000" w:sz="8" w:space="0"/>
            </w:tcBorders>
            <w:vAlign w:val="center"/>
          </w:tcPr>
          <w:p>
            <w:pPr>
              <w:pStyle w:val="18"/>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pPr>
              <w:pStyle w:val="18"/>
              <w:snapToGrid w:val="0"/>
              <w:spacing w:line="400" w:lineRule="exact"/>
              <w:ind w:right="42" w:rightChars="20"/>
              <w:rPr>
                <w:snapToGrid w:val="0"/>
                <w:color w:val="auto"/>
                <w:szCs w:val="21"/>
              </w:rPr>
            </w:pPr>
            <w:r>
              <w:rPr>
                <w:rFonts w:hint="eastAsia"/>
                <w:snapToGrid w:val="0"/>
                <w:color w:val="auto"/>
                <w:szCs w:val="21"/>
              </w:rPr>
              <w:t>资格条件见采购公告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34" w:type="dxa"/>
            <w:tcBorders>
              <w:top w:val="single" w:color="000000" w:sz="8" w:space="0"/>
              <w:left w:val="single" w:color="auto" w:sz="4"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pPr>
              <w:pStyle w:val="18"/>
              <w:snapToGrid w:val="0"/>
              <w:spacing w:line="400" w:lineRule="exact"/>
              <w:ind w:right="42" w:rightChars="20"/>
              <w:rPr>
                <w:color w:val="auto"/>
                <w:szCs w:val="21"/>
              </w:rPr>
            </w:pPr>
            <w:r>
              <w:rPr>
                <w:rFonts w:hint="eastAsia"/>
                <w:snapToGrid w:val="0"/>
                <w:color w:val="auto"/>
                <w:szCs w:val="21"/>
              </w:rPr>
              <w:t>（2）本项目不得转包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不组织。供应商经采购人同意后可自行前往对项目现场和周围环境进行踏勘和了解。</w:t>
            </w:r>
          </w:p>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pP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34"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pP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5300 </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cs="仿宋" w:asciiTheme="minorEastAsia" w:hAnsiTheme="minorEastAsia"/>
                <w:b/>
                <w:bCs/>
                <w:sz w:val="24"/>
                <w:u w:val="single"/>
                <w:lang w:eastAsia="zh-CN"/>
              </w:rPr>
              <w:t>2024年临江公司碱液脱酸系统备件采购项目</w:t>
            </w:r>
            <w:r>
              <w:rPr>
                <w:rFonts w:cs="仿宋" w:asciiTheme="minorEastAsia" w:hAnsiTheme="minorEastAsia"/>
                <w:sz w:val="24"/>
                <w:u w:val="single"/>
              </w:rPr>
              <w:t xml:space="preserve"> </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pP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34"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72"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pP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报价响应</w:t>
                </w:r>
                <w:r>
                  <w:rPr>
                    <w:rFonts w:hint="eastAsia" w:ascii="宋体" w:hAnsi="宋体" w:eastAsia="宋体" w:cs="宋体"/>
                    <w:color w:val="auto"/>
                    <w:szCs w:val="21"/>
                    <w:lang w:eastAsia="zh-CN"/>
                  </w:rPr>
                  <w:t>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pP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val="0"/>
                    <w:bCs w:val="0"/>
                    <w:color w:val="auto"/>
                    <w:szCs w:val="21"/>
                    <w:lang w:val="en-US" w:eastAsia="zh-CN"/>
                  </w:rPr>
                  <w:t>否</w:t>
                </w:r>
                <w:r>
                  <w:rPr>
                    <w:rFonts w:hint="eastAsia" w:ascii="宋体" w:hAnsi="宋体" w:eastAsia="宋体" w:cs="宋体"/>
                    <w:b w:val="0"/>
                    <w:bCs w:val="0"/>
                    <w:color w:val="auto"/>
                    <w:szCs w:val="21"/>
                  </w:rPr>
                  <w:t>。</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34"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72"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pP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72"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pP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900"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响应文件开启时应携带的资料</w:t>
            </w:r>
          </w:p>
        </w:tc>
        <w:tc>
          <w:tcPr>
            <w:tcW w:w="6472"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详见第六章“应提交的有关格式范例”，委托代理人的则须提供授权委托书)原件。若密封在响应文件里，开启后查验符合要求也可以。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11</w:t>
            </w:r>
          </w:p>
        </w:tc>
        <w:tc>
          <w:tcPr>
            <w:tcW w:w="1534"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b/>
                <w:snapToGrid w:val="0"/>
                <w:color w:val="auto"/>
                <w:kern w:val="0"/>
                <w:szCs w:val="21"/>
                <w:lang w:val="en-US" w:eastAsia="zh-CN"/>
              </w:rPr>
              <w:t>评审小组组建</w:t>
            </w:r>
          </w:p>
        </w:tc>
        <w:tc>
          <w:tcPr>
            <w:tcW w:w="6472"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kern w:val="0"/>
                <w:szCs w:val="21"/>
                <w:highlight w:val="yellow"/>
                <w:lang w:val="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由</w:t>
            </w:r>
            <w:r>
              <w:rPr>
                <w:rFonts w:hint="eastAsia" w:ascii="宋体" w:hAnsi="宋体" w:eastAsia="宋体" w:cs="宋体"/>
                <w:color w:val="auto"/>
                <w:kern w:val="0"/>
                <w:szCs w:val="21"/>
                <w:lang w:val="en-US" w:eastAsia="zh-CN"/>
              </w:rPr>
              <w:t>采购</w:t>
            </w:r>
            <w:r>
              <w:rPr>
                <w:rFonts w:hint="eastAsia" w:ascii="宋体" w:hAnsi="宋体" w:eastAsia="宋体" w:cs="宋体"/>
                <w:color w:val="auto"/>
                <w:kern w:val="0"/>
                <w:szCs w:val="21"/>
                <w:lang w:val="zh-CN"/>
              </w:rPr>
              <w:t xml:space="preserve">人组建，由 </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lang w:val="zh-CN"/>
              </w:rPr>
              <w:t>人组成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w:t>
            </w:r>
            <w:r>
              <w:rPr>
                <w:rFonts w:hint="eastAsia" w:ascii="宋体" w:hAnsi="宋体" w:cs="宋体"/>
                <w:b/>
                <w:snapToGrid w:val="0"/>
                <w:color w:val="auto"/>
                <w:kern w:val="0"/>
                <w:szCs w:val="21"/>
                <w:lang w:val="en-US" w:eastAsia="zh-CN"/>
              </w:rPr>
              <w:t>成交</w:t>
            </w:r>
            <w:r>
              <w:rPr>
                <w:rFonts w:hint="eastAsia" w:ascii="宋体" w:hAnsi="宋体" w:cs="宋体"/>
                <w:b/>
                <w:snapToGrid w:val="0"/>
                <w:color w:val="auto"/>
                <w:kern w:val="0"/>
                <w:szCs w:val="21"/>
              </w:rPr>
              <w:t>候选人的人数</w:t>
            </w:r>
          </w:p>
        </w:tc>
        <w:tc>
          <w:tcPr>
            <w:tcW w:w="6472"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20"/>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ascii="宋体" w:hAnsi="宋体" w:cs="宋体"/>
                <w:color w:val="auto"/>
              </w:rPr>
              <w:t>5</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是否分册装订：</w:t>
            </w:r>
          </w:p>
          <w:p>
            <w:pPr>
              <w:pStyle w:val="18"/>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pPr>
              <w:pStyle w:val="18"/>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pPr>
              <w:pStyle w:val="18"/>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pStyle w:val="6"/>
        <w:rPr>
          <w:rFonts w:cs="仿宋" w:asciiTheme="minorEastAsia" w:hAnsiTheme="minorEastAsia"/>
          <w:b/>
          <w:sz w:val="32"/>
          <w:szCs w:val="20"/>
        </w:rPr>
      </w:pPr>
    </w:p>
    <w:p/>
    <w:p>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pP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pP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pP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pPr>
        <w:pStyle w:val="8"/>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pPr>
        <w:pStyle w:val="8"/>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pPr>
        <w:pStyle w:val="8"/>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pPr>
        <w:pStyle w:val="8"/>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pPr>
        <w:pStyle w:val="8"/>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pPr>
        <w:pStyle w:val="8"/>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pPr>
        <w:pStyle w:val="8"/>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pPr>
        <w:pStyle w:val="8"/>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pPr>
        <w:pStyle w:val="8"/>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pPr>
        <w:pStyle w:val="21"/>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pPr>
        <w:pStyle w:val="21"/>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pPr>
        <w:pStyle w:val="6"/>
        <w:rPr>
          <w:rFonts w:cs="仿宋" w:asciiTheme="minorEastAsia" w:hAnsiTheme="minorEastAsia"/>
          <w:sz w:val="18"/>
          <w:szCs w:val="18"/>
          <w:lang w:val="en-US"/>
        </w:rPr>
      </w:pPr>
    </w:p>
    <w:p>
      <w:pP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pPr>
        <w:pStyle w:val="8"/>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pP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pPr>
        <w:pStyle w:val="8"/>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pPr>
        <w:pStyle w:val="8"/>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pPr>
        <w:pStyle w:val="8"/>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pPr>
        <w:pStyle w:val="8"/>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pPr>
        <w:pStyle w:val="8"/>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pP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pPr>
        <w:pStyle w:val="8"/>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pP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pP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pP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pP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pP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pPr>
        <w:pStyle w:val="21"/>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pP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pP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pPr>
        <w:pStyle w:val="21"/>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pPr>
        <w:pStyle w:val="21"/>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pPr>
        <w:pStyle w:val="21"/>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pPr>
        <w:pStyle w:val="21"/>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pPr>
        <w:pStyle w:val="7"/>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pP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pPr>
        <w:pStyle w:val="21"/>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pPr>
        <w:pStyle w:val="21"/>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pPr>
        <w:pStyle w:val="21"/>
        <w:spacing w:before="0"/>
        <w:ind w:firstLine="0" w:firstLineChars="0"/>
        <w:jc w:val="center"/>
        <w:rPr>
          <w:rFonts w:cs="仿宋" w:asciiTheme="minorEastAsia" w:hAnsiTheme="minorEastAsia"/>
          <w:b/>
          <w:sz w:val="32"/>
        </w:rPr>
      </w:pPr>
    </w:p>
    <w:p>
      <w:pPr>
        <w:pStyle w:val="21"/>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pPr>
        <w:pStyle w:val="22"/>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pPr>
        <w:pStyle w:val="22"/>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pPr>
        <w:pStyle w:val="22"/>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pPr>
        <w:pStyle w:val="21"/>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www.creditchina.gov.cn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、中国政府采购网《政府采购严重违法失信行为记录名单》</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www.ccgp.gov.cn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渠道查询供应商响应截止时间当天的信用记录。</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将被拒绝参与杭州临江环境能源有限公司采购活动。</w:t>
      </w:r>
    </w:p>
    <w:p>
      <w:pPr>
        <w:pStyle w:val="21"/>
        <w:spacing w:before="0"/>
        <w:ind w:left="0" w:leftChars="0" w:firstLine="0" w:firstLineChars="0"/>
        <w:rPr>
          <w:rFonts w:cs="仿宋" w:asciiTheme="minorEastAsia" w:hAnsiTheme="minorEastAsia"/>
          <w:kern w:val="0"/>
          <w:szCs w:val="24"/>
        </w:rPr>
      </w:pPr>
    </w:p>
    <w:p>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pPr>
        <w:spacing w:line="360" w:lineRule="auto"/>
        <w:ind w:firstLine="482" w:firstLineChars="200"/>
        <w:rPr>
          <w:rFonts w:cs="仿宋" w:asciiTheme="minorEastAsia" w:hAnsiTheme="minorEastAsia"/>
          <w:b/>
          <w:sz w:val="24"/>
        </w:rPr>
      </w:pPr>
      <w:bookmarkStart w:id="18"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pPr>
        <w:spacing w:line="360" w:lineRule="auto"/>
        <w:rPr>
          <w:rFonts w:cs="仿宋" w:asciiTheme="minorEastAsia" w:hAnsiTheme="minorEastAsia"/>
          <w:b/>
          <w:sz w:val="24"/>
        </w:rPr>
      </w:pPr>
    </w:p>
    <w:p>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pPr>
        <w:pStyle w:val="21"/>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pPr>
        <w:pStyle w:val="21"/>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pPr>
        <w:widowControl/>
        <w:shd w:val="clear" w:color="auto" w:fill="FFFFFF"/>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pPr>
        <w:pStyle w:val="21"/>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pPr>
        <w:widowControl/>
        <w:shd w:val="clear" w:color="auto" w:fill="FFFFFF"/>
        <w:spacing w:line="360" w:lineRule="auto"/>
        <w:ind w:firstLine="480"/>
        <w:jc w:val="left"/>
        <w:rPr>
          <w:rFonts w:hint="eastAsia"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pPr>
        <w:widowControl/>
        <w:shd w:val="clear" w:color="auto" w:fill="FFFFFF"/>
        <w:spacing w:line="360" w:lineRule="auto"/>
        <w:ind w:firstLine="480"/>
        <w:jc w:val="left"/>
        <w:rPr>
          <w:rFonts w:hint="eastAsia" w:cs="仿宋" w:asciiTheme="minorEastAsia" w:hAnsiTheme="minorEastAsia"/>
          <w:sz w:val="24"/>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pPr>
        <w:pStyle w:val="7"/>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pPr>
        <w:pStyle w:val="7"/>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pPr>
        <w:widowControl/>
        <w:shd w:val="clear" w:color="auto" w:fill="FFFFFF"/>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pPr>
        <w:pStyle w:val="21"/>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pPr>
        <w:pStyle w:val="21"/>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pPr>
        <w:pStyle w:val="21"/>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pPr>
        <w:pStyle w:val="7"/>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拟签订的合同文本要求成交供应商提交履约保证金的，供应商应当以转账或者电汇等形式提交。履约保证金的数额为采购合同金额的5%</w:t>
      </w:r>
      <w:r>
        <w:rPr>
          <w:rFonts w:hint="eastAsia" w:ascii="宋体" w:hAnsi="宋体" w:cs="宋体"/>
          <w:sz w:val="24"/>
        </w:rPr>
        <w:t>，</w:t>
      </w:r>
      <w:r>
        <w:rPr>
          <w:rFonts w:hint="eastAsia" w:cs="仿宋" w:asciiTheme="minorEastAsia" w:hAnsiTheme="minorEastAsia"/>
          <w:sz w:val="24"/>
          <w:szCs w:val="20"/>
        </w:rPr>
        <w:t>项目验收结束后无息退还。</w:t>
      </w:r>
    </w:p>
    <w:p>
      <w:pP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pPr>
        <w:pStyle w:val="6"/>
        <w:ind w:firstLine="480" w:firstLineChars="200"/>
      </w:pPr>
      <w:r>
        <w:rPr>
          <w:rFonts w:hint="eastAsia"/>
        </w:rPr>
        <w:t>本项目无预付款。</w:t>
      </w:r>
    </w:p>
    <w:p>
      <w:pPr>
        <w:tabs>
          <w:tab w:val="left" w:pos="0"/>
        </w:tabs>
        <w:spacing w:line="360" w:lineRule="auto"/>
        <w:ind w:firstLine="480"/>
        <w:rPr>
          <w:rFonts w:cs="仿宋" w:asciiTheme="minorEastAsia" w:hAnsiTheme="minorEastAsia"/>
          <w:sz w:val="24"/>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八、询价保证金退还（若有）</w:t>
      </w:r>
    </w:p>
    <w:p>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pP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pPr>
        <w:snapToGrid w:val="0"/>
        <w:spacing w:line="360" w:lineRule="auto"/>
        <w:ind w:left="120" w:leftChars="57" w:firstLine="482" w:firstLineChars="150"/>
        <w:jc w:val="center"/>
        <w:rPr>
          <w:rFonts w:cs="仿宋" w:asciiTheme="minorEastAsia" w:hAnsiTheme="minorEastAsia"/>
          <w:b/>
          <w:sz w:val="32"/>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pPr>
        <w:pStyle w:val="7"/>
        <w:spacing w:line="360" w:lineRule="auto"/>
        <w:ind w:firstLine="489"/>
        <w:rPr>
          <w:rFonts w:cs="仿宋" w:asciiTheme="minorEastAsia" w:hAnsiTheme="minorEastAsia"/>
          <w:b/>
        </w:rPr>
      </w:pPr>
      <w:r>
        <w:rPr>
          <w:rFonts w:hint="eastAsia" w:cs="仿宋" w:asciiTheme="minorEastAsia" w:hAnsiTheme="minorEastAsia"/>
          <w:b/>
        </w:rPr>
        <w:t>27.验收</w:t>
      </w:r>
    </w:p>
    <w:p>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pPr>
        <w:pStyle w:val="8"/>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pPr>
        <w:rPr>
          <w:rFonts w:cs="仿宋" w:asciiTheme="minorEastAsia" w:hAnsiTheme="minorEastAsia"/>
          <w:kern w:val="0"/>
          <w:sz w:val="24"/>
        </w:rPr>
      </w:pPr>
    </w:p>
    <w:p>
      <w:pPr>
        <w:pStyle w:val="6"/>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pPr>
        <w:snapToGrid w:val="0"/>
        <w:spacing w:line="360" w:lineRule="auto"/>
        <w:ind w:firstLine="482" w:firstLineChars="200"/>
        <w:jc w:val="left"/>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pPr>
        <w:spacing w:line="460" w:lineRule="exact"/>
        <w:jc w:val="center"/>
        <w:rPr>
          <w:sz w:val="24"/>
        </w:rPr>
      </w:pPr>
      <w:r>
        <w:rPr>
          <w:rFonts w:hint="eastAsia" w:cs="仿宋" w:asciiTheme="minorEastAsia" w:hAnsiTheme="minorEastAsia"/>
          <w:b/>
          <w:sz w:val="36"/>
          <w:szCs w:val="36"/>
        </w:rPr>
        <w:t>第三部分 采购需求</w:t>
      </w:r>
    </w:p>
    <w:p>
      <w:pPr>
        <w:spacing w:line="360" w:lineRule="auto"/>
        <w:ind w:firstLine="482" w:firstLineChars="200"/>
        <w:rPr>
          <w:rFonts w:ascii="宋体" w:hAnsi="宋体" w:eastAsia="宋体" w:cs="宋体"/>
          <w:b/>
          <w:sz w:val="24"/>
        </w:rPr>
      </w:pPr>
      <w:r>
        <w:rPr>
          <w:rFonts w:hint="eastAsia" w:ascii="宋体" w:hAnsi="宋体" w:eastAsia="宋体" w:cs="宋体"/>
          <w:b/>
          <w:sz w:val="24"/>
        </w:rPr>
        <w:t>一、采购内容</w:t>
      </w:r>
    </w:p>
    <w:p>
      <w:pPr>
        <w:pStyle w:val="6"/>
        <w:ind w:firstLine="480" w:firstLineChars="200"/>
        <w:rPr>
          <w:rFonts w:hint="eastAsia"/>
          <w:lang w:val="en-US"/>
        </w:rPr>
      </w:pPr>
      <w:r>
        <w:rPr>
          <w:rFonts w:hint="eastAsia"/>
          <w:lang w:val="en-US"/>
        </w:rPr>
        <w:t>杭州临江环境能源有限公司因日常生产需要，需采购</w:t>
      </w:r>
      <w:r>
        <w:rPr>
          <w:rFonts w:hint="eastAsia" w:hAnsi="宋体" w:cs="宋体"/>
          <w:bCs/>
          <w:sz w:val="24"/>
        </w:rPr>
        <w:t>采购</w:t>
      </w:r>
      <w:r>
        <w:rPr>
          <w:rFonts w:hint="eastAsia" w:cs="仿宋" w:asciiTheme="minorEastAsia" w:hAnsiTheme="minorEastAsia"/>
          <w:sz w:val="24"/>
          <w:u w:val="single"/>
          <w:lang w:eastAsia="zh-CN"/>
        </w:rPr>
        <w:t>碱液脱酸系统</w:t>
      </w:r>
      <w:r>
        <w:rPr>
          <w:rFonts w:hint="eastAsia"/>
          <w:lang w:val="en-US" w:eastAsia="zh-CN"/>
        </w:rPr>
        <w:t>备件用于雾化器检修时可以喷碱液确保环保达标。</w:t>
      </w:r>
      <w:r>
        <w:rPr>
          <w:rFonts w:hint="eastAsia"/>
          <w:lang w:val="en-US"/>
        </w:rPr>
        <w:t>具体如下：</w:t>
      </w:r>
    </w:p>
    <w:tbl>
      <w:tblPr>
        <w:tblStyle w:val="15"/>
        <w:tblW w:w="906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3"/>
        <w:gridCol w:w="1611"/>
        <w:gridCol w:w="616"/>
        <w:gridCol w:w="2482"/>
        <w:gridCol w:w="668"/>
        <w:gridCol w:w="641"/>
        <w:gridCol w:w="25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序号</w:t>
            </w: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物资名称</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品牌</w:t>
            </w:r>
          </w:p>
        </w:tc>
        <w:tc>
          <w:tcPr>
            <w:tcW w:w="24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型号规格</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单位</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数量</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不锈钢钢管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φ32*3.5 材质：316L</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482</w:t>
            </w:r>
          </w:p>
        </w:tc>
        <w:tc>
          <w:tcPr>
            <w:tcW w:w="2543" w:type="dxa"/>
            <w:vMerge w:val="restart"/>
            <w:tcBorders>
              <w:top w:val="single" w:color="000000" w:sz="4" w:space="0"/>
              <w:left w:val="single" w:color="000000" w:sz="4" w:space="0"/>
              <w:right w:val="single" w:color="000000" w:sz="4" w:space="0"/>
            </w:tcBorders>
            <w:shd w:val="clear" w:color="auto" w:fill="auto"/>
            <w:noWrap/>
            <w:vAlign w:val="center"/>
          </w:tcPr>
          <w:p>
            <w:pPr>
              <w:tabs>
                <w:tab w:val="left" w:pos="542"/>
              </w:tabs>
              <w:jc w:val="left"/>
              <w:rPr>
                <w:rFonts w:hint="default" w:ascii="宋体" w:hAnsi="宋体" w:eastAsia="宋体" w:cs="宋体"/>
                <w:snapToGrid w:val="0"/>
                <w:szCs w:val="21"/>
                <w:lang w:val="en-US" w:eastAsia="zh-CN"/>
              </w:rPr>
            </w:pPr>
            <w:r>
              <w:rPr>
                <w:rFonts w:hint="eastAsia" w:ascii="宋体" w:hAnsi="宋体" w:eastAsia="宋体" w:cs="宋体"/>
                <w:b/>
                <w:bCs/>
                <w:snapToGrid w:val="0"/>
                <w:szCs w:val="21"/>
                <w:lang w:val="en-US" w:eastAsia="zh-CN"/>
              </w:rPr>
              <w:t>材料报价包含改造安装过程中所有的油漆、工具、辅材、人工、脚手架及其他安全措施费。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等径三通</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φ32*3.5 材质：316L</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法兰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DN25  PN16 304不锈钢</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60</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法兰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DN15  PN16 304不锈钢</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30</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液碱输送泵</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格兰富</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型号：CR10-9A-FJ-A-E-HQQE 功率：3KW 流量：10m³/h 扬程：72.3m 最大扬程：91.8m  转速2902r/min 介质：30%氢氧化钠溶液 过流件耐酸耐碱</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不锈钢压力表</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型号：Y-150B-FZ φ150，径向，精度1.6%，全密封型，安全玻璃，表壳材质304，IP65，充油耐震型，介质20%氢氧化钠，常温，压力1MPa，量程范围0~1.6MPa，过程连接G3/8 外螺纹</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压力变送器</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罗斯蒙特</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型号：3051GP2A2B21BM5HR5(配316材质1/4NPT外转换14转换接头) 迁移量100%，电源24VDC，精度0.075%，输出信号4~20mA+HART,两线制，电气接口规格M20*1.5，IP66，带LCD显示，介质:30%氢氧化钠，温度:常温，压力:0.3MPa，测量范围:0~1.6Mpa，过程连接NPT1/2"内螺纹:过流部件:316L</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电磁流量计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正常流量1.5m³/h，最大流量：3m³/h，刻度流量0~5m³/h ，内部材料：PTFE或同等材料；电极：316L；精确度±1%，电源：220VAC 50Hz，防护等级：IP65，输出： 4~20mA HART + 脉冲 无源，液晶显示，瞬时量、累积量，参数可调，工艺介质：30%氢氧化钠、 常温；法兰连接，GB9119-2010，DN25 PN1.6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气动调节阀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型号：ZXP-16R DN25 PN16 工艺介质：30%氢氧化钠、 常温 最小/常用/最大流量m³/h：0.1/1.5/3 阀前/阀后压力MPa: 0.45/0.3 管道直径：DN25 过程连接：法兰连接 供电电源：24V 精度0.5级 带输入信号、反馈信号4-20mA 带位置反馈、集成智能定位器 不防爆、电气连接：M20*1.5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止回阀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型号：H61W-16P  DN25 PN16 连接形式：焊接 材质:304 密封材料：PTFE</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11</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气动关断阀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 xml:space="preserve">型号：Q641F-16 DN25 PN16 阀体材质：304 工艺介质：20%氢氧化钠  过程连接：法兰连接 供电电源：24V  带输入信号、反馈信号4-20mA 带位置反馈 </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手动球阀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型号：Q61F-16P DN15 材质：304 介质：30%氢氧化钠溶液</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13</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手动球阀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型号：Q61F-16P DN25 材质：304 介质：30%氢氧化钠溶液</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14</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型号：ZR-YJV-0.6/1KV 芯数截面：1(4*2.5)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500</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型号：ZR-KVVP-0.45/0.75kV 芯数截面：1(4*1.0)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150</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16</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型号：ZR-KVVP-0.45/0.75kV 芯数截面：1(6*1.0)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150</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17</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型号：ZR-DJYPVP-0.3/0.5kV 芯数截面：1(1*2*1.0)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500</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18</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型号：ZR-DJYPVP-0.3/0.5kV 芯数截面：1(2*2*1.0)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900</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19</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型号：ZR-KVVP-0.45/0.75kV 芯数截面：1(6*1.0)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900</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型号：ZR-DJYPVP-0.3/0.5kV 芯数截面：1(1*2*1.0)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900</w:t>
            </w:r>
          </w:p>
        </w:tc>
        <w:tc>
          <w:tcPr>
            <w:tcW w:w="2543" w:type="dxa"/>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bl>
    <w:p>
      <w:pPr>
        <w:pStyle w:val="14"/>
        <w:rPr>
          <w:rFonts w:hint="eastAsia"/>
          <w:lang w:val="en-US"/>
        </w:rPr>
      </w:pPr>
    </w:p>
    <w:p>
      <w:pPr>
        <w:pStyle w:val="6"/>
        <w:numPr>
          <w:ilvl w:val="0"/>
          <w:numId w:val="0"/>
        </w:numPr>
        <w:spacing w:after="0" w:line="360" w:lineRule="auto"/>
        <w:ind w:firstLine="480" w:firstLineChars="200"/>
        <w:rPr>
          <w:rFonts w:hint="eastAsia" w:ascii="宋体" w:hAnsi="宋体" w:eastAsia="宋体" w:cs="宋体"/>
          <w:b w:val="0"/>
          <w:bCs w:val="0"/>
          <w:snapToGrid/>
          <w:color w:val="auto"/>
          <w:kern w:val="2"/>
          <w:sz w:val="24"/>
          <w:szCs w:val="24"/>
          <w:lang w:val="en-US" w:eastAsia="zh-CN"/>
        </w:rPr>
      </w:pPr>
      <w:r>
        <w:rPr>
          <w:rFonts w:hint="eastAsia" w:ascii="宋体" w:hAnsi="宋体" w:eastAsia="宋体" w:cs="宋体"/>
          <w:b w:val="0"/>
          <w:bCs w:val="0"/>
          <w:snapToGrid/>
          <w:color w:val="auto"/>
          <w:kern w:val="2"/>
          <w:sz w:val="24"/>
          <w:szCs w:val="24"/>
          <w:lang w:val="en-US" w:eastAsia="zh-CN" w:bidi="ar-SA"/>
        </w:rPr>
        <w:t>1.</w:t>
      </w:r>
      <w:r>
        <w:rPr>
          <w:rFonts w:hint="eastAsia" w:ascii="宋体" w:hAnsi="宋体" w:eastAsia="宋体" w:cs="宋体"/>
          <w:b w:val="0"/>
          <w:bCs w:val="0"/>
          <w:snapToGrid/>
          <w:color w:val="auto"/>
          <w:kern w:val="2"/>
          <w:sz w:val="24"/>
          <w:szCs w:val="24"/>
        </w:rPr>
        <w:t>清单数量为</w:t>
      </w:r>
      <w:r>
        <w:rPr>
          <w:rFonts w:hint="eastAsia" w:ascii="宋体" w:hAnsi="宋体" w:eastAsia="宋体" w:cs="宋体"/>
          <w:b w:val="0"/>
          <w:bCs w:val="0"/>
          <w:snapToGrid/>
          <w:color w:val="auto"/>
          <w:kern w:val="2"/>
          <w:sz w:val="24"/>
          <w:szCs w:val="24"/>
          <w:lang w:val="en-US" w:eastAsia="zh-CN"/>
        </w:rPr>
        <w:t>采购人方案图纸的数量测算</w:t>
      </w:r>
      <w:r>
        <w:rPr>
          <w:rFonts w:hint="eastAsia" w:ascii="宋体" w:hAnsi="宋体" w:eastAsia="宋体" w:cs="宋体"/>
          <w:b w:val="0"/>
          <w:bCs w:val="0"/>
          <w:snapToGrid/>
          <w:color w:val="auto"/>
          <w:kern w:val="2"/>
          <w:sz w:val="24"/>
          <w:szCs w:val="24"/>
        </w:rPr>
        <w:t>，</w:t>
      </w:r>
      <w:r>
        <w:rPr>
          <w:rFonts w:hint="eastAsia" w:ascii="宋体" w:hAnsi="宋体" w:eastAsia="宋体" w:cs="宋体"/>
          <w:b w:val="0"/>
          <w:bCs w:val="0"/>
          <w:snapToGrid/>
          <w:color w:val="auto"/>
          <w:kern w:val="2"/>
          <w:sz w:val="24"/>
          <w:szCs w:val="24"/>
          <w:lang w:val="en-US" w:eastAsia="zh-CN"/>
        </w:rPr>
        <w:t>供应商</w:t>
      </w:r>
      <w:r>
        <w:rPr>
          <w:rFonts w:hint="eastAsia" w:hAnsi="宋体" w:eastAsia="宋体" w:cs="宋体"/>
          <w:b w:val="0"/>
          <w:bCs w:val="0"/>
          <w:snapToGrid/>
          <w:color w:val="auto"/>
          <w:kern w:val="2"/>
          <w:sz w:val="24"/>
          <w:szCs w:val="24"/>
          <w:lang w:val="en-US" w:eastAsia="zh-CN"/>
        </w:rPr>
        <w:t>可</w:t>
      </w:r>
      <w:r>
        <w:rPr>
          <w:rFonts w:hint="eastAsia" w:ascii="宋体" w:hAnsi="宋体" w:eastAsia="宋体" w:cs="宋体"/>
          <w:b w:val="0"/>
          <w:bCs w:val="0"/>
          <w:snapToGrid/>
          <w:color w:val="auto"/>
          <w:kern w:val="2"/>
          <w:sz w:val="24"/>
          <w:szCs w:val="24"/>
          <w:lang w:val="en-US" w:eastAsia="zh-CN"/>
        </w:rPr>
        <w:t>按方案图纸测算</w:t>
      </w:r>
      <w:r>
        <w:rPr>
          <w:rFonts w:hint="eastAsia" w:hAnsi="宋体" w:eastAsia="宋体" w:cs="宋体"/>
          <w:b w:val="0"/>
          <w:bCs w:val="0"/>
          <w:snapToGrid/>
          <w:color w:val="auto"/>
          <w:kern w:val="2"/>
          <w:sz w:val="24"/>
          <w:szCs w:val="24"/>
          <w:lang w:val="en-US" w:eastAsia="zh-CN"/>
        </w:rPr>
        <w:t>或自行现场确认数量，材料使用数量按实结算，</w:t>
      </w:r>
      <w:r>
        <w:rPr>
          <w:rFonts w:hint="eastAsia" w:ascii="宋体" w:hAnsi="宋体" w:eastAsia="宋体" w:cs="宋体"/>
          <w:b w:val="0"/>
          <w:bCs w:val="0"/>
          <w:snapToGrid/>
          <w:color w:val="auto"/>
          <w:kern w:val="2"/>
          <w:sz w:val="24"/>
          <w:szCs w:val="24"/>
          <w:lang w:val="en-US" w:eastAsia="zh-CN"/>
        </w:rPr>
        <w:t>方案</w:t>
      </w:r>
      <w:r>
        <w:rPr>
          <w:rFonts w:hint="eastAsia" w:hAnsi="宋体" w:eastAsia="宋体" w:cs="宋体"/>
          <w:b w:val="0"/>
          <w:bCs w:val="0"/>
          <w:snapToGrid/>
          <w:color w:val="auto"/>
          <w:kern w:val="2"/>
          <w:sz w:val="24"/>
          <w:szCs w:val="24"/>
          <w:lang w:val="en-US" w:eastAsia="zh-CN"/>
        </w:rPr>
        <w:t>简图</w:t>
      </w:r>
      <w:r>
        <w:rPr>
          <w:rFonts w:hint="eastAsia" w:ascii="宋体" w:hAnsi="宋体" w:eastAsia="宋体" w:cs="宋体"/>
          <w:b w:val="0"/>
          <w:bCs w:val="0"/>
          <w:snapToGrid/>
          <w:color w:val="auto"/>
          <w:kern w:val="2"/>
          <w:sz w:val="24"/>
          <w:szCs w:val="24"/>
          <w:lang w:val="en-US" w:eastAsia="zh-CN"/>
        </w:rPr>
        <w:t>见</w:t>
      </w:r>
      <w:r>
        <w:rPr>
          <w:rFonts w:hint="eastAsia" w:hAnsi="宋体" w:eastAsia="宋体" w:cs="宋体"/>
          <w:b w:val="0"/>
          <w:bCs w:val="0"/>
          <w:snapToGrid/>
          <w:color w:val="auto"/>
          <w:kern w:val="2"/>
          <w:sz w:val="24"/>
          <w:szCs w:val="24"/>
          <w:lang w:val="en-US" w:eastAsia="zh-CN"/>
        </w:rPr>
        <w:t>采购需求下附图</w:t>
      </w:r>
      <w:r>
        <w:rPr>
          <w:rFonts w:hint="eastAsia" w:ascii="宋体" w:hAnsi="宋体" w:eastAsia="宋体" w:cs="宋体"/>
          <w:b w:val="0"/>
          <w:bCs w:val="0"/>
          <w:snapToGrid/>
          <w:color w:val="auto"/>
          <w:kern w:val="2"/>
          <w:sz w:val="24"/>
          <w:szCs w:val="24"/>
          <w:lang w:val="en-US" w:eastAsia="zh-CN"/>
        </w:rPr>
        <w:t>。</w:t>
      </w:r>
    </w:p>
    <w:p>
      <w:pPr>
        <w:pStyle w:val="6"/>
        <w:numPr>
          <w:ilvl w:val="0"/>
          <w:numId w:val="0"/>
        </w:numPr>
        <w:spacing w:after="0" w:line="360" w:lineRule="auto"/>
        <w:ind w:firstLine="480" w:firstLineChars="200"/>
        <w:rPr>
          <w:rFonts w:hint="default" w:ascii="宋体" w:hAnsi="Arial" w:cs="Arial" w:eastAsiaTheme="minorEastAsia"/>
          <w:b w:val="0"/>
          <w:bCs w:val="0"/>
          <w:snapToGrid w:val="0"/>
          <w:kern w:val="2"/>
          <w:sz w:val="24"/>
          <w:szCs w:val="24"/>
          <w:lang w:val="en-US" w:eastAsia="zh-CN" w:bidi="ar-SA"/>
        </w:rPr>
      </w:pPr>
      <w:r>
        <w:rPr>
          <w:rFonts w:hint="default" w:ascii="宋体" w:hAnsi="Arial" w:cs="Arial" w:eastAsiaTheme="minorEastAsia"/>
          <w:b w:val="0"/>
          <w:bCs w:val="0"/>
          <w:snapToGrid w:val="0"/>
          <w:kern w:val="2"/>
          <w:sz w:val="24"/>
          <w:szCs w:val="24"/>
          <w:lang w:val="en-US" w:eastAsia="zh-CN" w:bidi="ar-SA"/>
        </w:rPr>
        <w:t>2.现场环境：液碱制备间至反应塔底的管道标高为+5米，反应塔底爬升至反应塔顶的标高为+37.156米，反应塔顶管道水平布置，反应塔顶环境温度约50℃</w:t>
      </w:r>
      <w:r>
        <w:rPr>
          <w:rFonts w:hint="eastAsia" w:cs="Arial"/>
          <w:b w:val="0"/>
          <w:bCs w:val="0"/>
          <w:snapToGrid w:val="0"/>
          <w:kern w:val="2"/>
          <w:sz w:val="24"/>
          <w:szCs w:val="24"/>
          <w:lang w:val="en-US" w:eastAsia="zh-CN" w:bidi="ar-SA"/>
        </w:rPr>
        <w:t>，供应商自行考虑作业条件，或到现场确认作业环境。</w:t>
      </w:r>
      <w:r>
        <w:rPr>
          <w:rFonts w:hint="default" w:ascii="宋体" w:hAnsi="Arial" w:cs="Arial" w:eastAsiaTheme="minorEastAsia"/>
          <w:b w:val="0"/>
          <w:bCs w:val="0"/>
          <w:snapToGrid w:val="0"/>
          <w:kern w:val="2"/>
          <w:sz w:val="24"/>
          <w:szCs w:val="24"/>
          <w:lang w:val="en-US" w:eastAsia="zh-CN" w:bidi="ar-SA"/>
        </w:rPr>
        <w:t>安装过程中如需搭设脚手架，使用吊车、登高车等工程车辆，风扇、轴流风机等降温设备，电动葫芦、卷扬机等起吊设备，均</w:t>
      </w:r>
      <w:r>
        <w:rPr>
          <w:rFonts w:hint="eastAsia" w:cs="Arial"/>
          <w:b w:val="0"/>
          <w:bCs w:val="0"/>
          <w:snapToGrid w:val="0"/>
          <w:kern w:val="2"/>
          <w:sz w:val="24"/>
          <w:szCs w:val="24"/>
          <w:lang w:val="en-US" w:eastAsia="zh-CN" w:bidi="ar-SA"/>
        </w:rPr>
        <w:t>由供应商</w:t>
      </w:r>
      <w:r>
        <w:rPr>
          <w:rFonts w:hint="default" w:ascii="宋体" w:hAnsi="Arial" w:cs="Arial" w:eastAsiaTheme="minorEastAsia"/>
          <w:b w:val="0"/>
          <w:bCs w:val="0"/>
          <w:snapToGrid w:val="0"/>
          <w:kern w:val="2"/>
          <w:sz w:val="24"/>
          <w:szCs w:val="24"/>
          <w:lang w:val="en-US" w:eastAsia="zh-CN" w:bidi="ar-SA"/>
        </w:rPr>
        <w:t>自筹或租赁，所需费用由</w:t>
      </w:r>
      <w:r>
        <w:rPr>
          <w:rFonts w:hint="eastAsia" w:cs="Arial"/>
          <w:b w:val="0"/>
          <w:bCs w:val="0"/>
          <w:snapToGrid w:val="0"/>
          <w:kern w:val="2"/>
          <w:sz w:val="24"/>
          <w:szCs w:val="24"/>
          <w:lang w:val="en-US" w:eastAsia="zh-CN" w:bidi="ar-SA"/>
        </w:rPr>
        <w:t>供应商</w:t>
      </w:r>
      <w:r>
        <w:rPr>
          <w:rFonts w:hint="default" w:ascii="宋体" w:hAnsi="Arial" w:cs="Arial" w:eastAsiaTheme="minorEastAsia"/>
          <w:b w:val="0"/>
          <w:bCs w:val="0"/>
          <w:snapToGrid w:val="0"/>
          <w:kern w:val="2"/>
          <w:sz w:val="24"/>
          <w:szCs w:val="24"/>
          <w:lang w:val="en-US" w:eastAsia="zh-CN" w:bidi="ar-SA"/>
        </w:rPr>
        <w:t>自行承担。</w:t>
      </w:r>
    </w:p>
    <w:p>
      <w:pPr>
        <w:pStyle w:val="14"/>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3.主要作业内容：能源项目液碱喷淋脱酸系统安装（南北各一套）</w:t>
      </w:r>
    </w:p>
    <w:p>
      <w:pPr>
        <w:pStyle w:val="14"/>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1）液碱喷淋脱酸系统供应管道安装，总长约482米（单侧约241米），总爬高约37米；</w:t>
      </w:r>
    </w:p>
    <w:p>
      <w:pPr>
        <w:pStyle w:val="14"/>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 xml:space="preserve">2）管道布置时所需的支架、抱箍等安装； </w:t>
      </w:r>
    </w:p>
    <w:p>
      <w:pPr>
        <w:pStyle w:val="14"/>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3）管件、阀门、流量计、压力表的安装；</w:t>
      </w:r>
    </w:p>
    <w:p>
      <w:pPr>
        <w:pStyle w:val="14"/>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4）所有支架需除锈，刷一道底漆，一道防锈面漆，面漆颜色，淡灰B03；</w:t>
      </w:r>
    </w:p>
    <w:p>
      <w:pPr>
        <w:pStyle w:val="14"/>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5）供应泵的安装及调试；</w:t>
      </w:r>
    </w:p>
    <w:p>
      <w:pPr>
        <w:pStyle w:val="14"/>
        <w:rPr>
          <w:rFonts w:hint="default"/>
          <w:lang w:val="en-US"/>
        </w:rPr>
      </w:pPr>
      <w:r>
        <w:rPr>
          <w:rFonts w:hint="eastAsia" w:hAnsi="Arial" w:cs="Arial"/>
          <w:b w:val="0"/>
          <w:bCs w:val="0"/>
          <w:snapToGrid w:val="0"/>
          <w:kern w:val="2"/>
          <w:sz w:val="24"/>
          <w:szCs w:val="24"/>
          <w:lang w:val="en-US" w:eastAsia="zh-CN" w:bidi="ar-SA"/>
        </w:rPr>
        <w:t>6）电缆敷设及接线（电缆敷设涉及的电缆桥架的拆除及恢复及相应的辅材均由乙方负责）。</w:t>
      </w:r>
    </w:p>
    <w:p>
      <w:pPr>
        <w:spacing w:line="360" w:lineRule="auto"/>
        <w:ind w:firstLine="482" w:firstLineChars="200"/>
        <w:rPr>
          <w:rFonts w:ascii="宋体" w:hAnsi="宋体" w:cs="宋体"/>
          <w:sz w:val="24"/>
        </w:rPr>
      </w:pPr>
      <w:r>
        <w:rPr>
          <w:rFonts w:hint="eastAsia" w:cs="仿宋" w:asciiTheme="minorEastAsia" w:hAnsiTheme="minorEastAsia" w:eastAsiaTheme="minorEastAsia"/>
          <w:b/>
          <w:bCs/>
          <w:snapToGrid w:val="0"/>
          <w:kern w:val="0"/>
          <w:sz w:val="24"/>
          <w:szCs w:val="21"/>
          <w:lang w:val="zh-CN" w:eastAsia="zh-CN" w:bidi="ar-SA"/>
        </w:rPr>
        <w:t>▲</w:t>
      </w:r>
      <w:r>
        <w:rPr>
          <w:rFonts w:hint="eastAsia" w:cs="仿宋" w:asciiTheme="minorEastAsia" w:hAnsiTheme="minorEastAsia" w:eastAsiaTheme="minorEastAsia"/>
          <w:b/>
          <w:bCs/>
          <w:snapToGrid w:val="0"/>
          <w:kern w:val="0"/>
          <w:sz w:val="24"/>
          <w:szCs w:val="21"/>
          <w:lang w:val="en-US" w:eastAsia="zh-CN" w:bidi="ar-SA"/>
        </w:rPr>
        <w:t>二、合同期限：</w:t>
      </w:r>
      <w:r>
        <w:rPr>
          <w:rFonts w:hint="eastAsia" w:ascii="宋体" w:hAnsi="宋体" w:cs="宋体"/>
          <w:sz w:val="24"/>
          <w:highlight w:val="none"/>
          <w:u w:val="single"/>
          <w:lang w:val="en-US" w:eastAsia="zh-CN"/>
        </w:rPr>
        <w:t>自合同签订生效后30天内完成供货及安装调试验收。</w:t>
      </w:r>
    </w:p>
    <w:p>
      <w:pPr>
        <w:pStyle w:val="6"/>
        <w:ind w:firstLine="480" w:firstLineChars="200"/>
        <w:rPr>
          <w:rFonts w:hint="default" w:cs="仿宋" w:asciiTheme="minorEastAsia" w:hAnsiTheme="minorEastAsia" w:eastAsiaTheme="minorEastAsia"/>
          <w:kern w:val="0"/>
          <w:lang w:val="en-US" w:eastAsia="zh-CN"/>
        </w:rPr>
      </w:pPr>
      <w:r>
        <w:rPr>
          <w:rFonts w:hint="eastAsia" w:cs="仿宋" w:asciiTheme="minorEastAsia" w:hAnsiTheme="minorEastAsia"/>
          <w:kern w:val="0"/>
        </w:rPr>
        <w:t>▲</w:t>
      </w:r>
      <w:r>
        <w:rPr>
          <w:rFonts w:hint="eastAsia"/>
          <w:b/>
          <w:bCs/>
          <w:lang w:val="en-US" w:eastAsia="zh-CN"/>
        </w:rPr>
        <w:t>三</w:t>
      </w:r>
      <w:r>
        <w:rPr>
          <w:rFonts w:hint="eastAsia"/>
          <w:b/>
          <w:bCs/>
          <w:lang w:val="en-US"/>
        </w:rPr>
        <w:t>、</w:t>
      </w:r>
      <w:r>
        <w:rPr>
          <w:rFonts w:hint="eastAsia"/>
          <w:b/>
          <w:bCs/>
          <w:lang w:val="en-US" w:eastAsia="zh-CN"/>
        </w:rPr>
        <w:t>履约方式：</w:t>
      </w:r>
      <w:r>
        <w:rPr>
          <w:rFonts w:hint="eastAsia"/>
          <w:b w:val="0"/>
          <w:bCs w:val="0"/>
          <w:lang w:val="en-US" w:eastAsia="zh-CN"/>
        </w:rPr>
        <w:t>合同期内</w:t>
      </w:r>
      <w:r>
        <w:rPr>
          <w:rFonts w:hint="eastAsia"/>
          <w:color w:val="auto"/>
          <w:highlight w:val="none"/>
          <w:lang w:val="en-US" w:eastAsia="zh-CN"/>
        </w:rPr>
        <w:t>按合同约定完成供货、安装及调试。</w:t>
      </w:r>
    </w:p>
    <w:p>
      <w:pPr>
        <w:pStyle w:val="6"/>
        <w:ind w:firstLine="480" w:firstLineChars="200"/>
        <w:rPr>
          <w:b/>
          <w:bCs/>
          <w:lang w:val="en-US"/>
        </w:rPr>
      </w:pPr>
      <w:r>
        <w:rPr>
          <w:rFonts w:hint="eastAsia" w:cs="仿宋" w:asciiTheme="minorEastAsia" w:hAnsiTheme="minorEastAsia"/>
          <w:kern w:val="0"/>
        </w:rPr>
        <w:t>▲</w:t>
      </w:r>
      <w:r>
        <w:rPr>
          <w:rFonts w:hint="eastAsia"/>
          <w:b/>
          <w:bCs/>
          <w:lang w:val="en-US" w:eastAsia="zh-CN"/>
        </w:rPr>
        <w:t>四</w:t>
      </w:r>
      <w:r>
        <w:rPr>
          <w:rFonts w:hint="eastAsia"/>
          <w:b/>
          <w:bCs/>
          <w:lang w:val="en-US"/>
        </w:rPr>
        <w:t>、技术、质量要求</w:t>
      </w:r>
    </w:p>
    <w:p>
      <w:pPr>
        <w:pStyle w:val="6"/>
        <w:ind w:firstLine="480" w:firstLineChars="200"/>
        <w:rPr>
          <w:rFonts w:hint="eastAsia" w:ascii="宋体"/>
          <w:color w:val="auto"/>
          <w:highlight w:val="none"/>
          <w:lang w:val="en-US" w:eastAsia="zh-CN"/>
        </w:rPr>
      </w:pPr>
      <w:r>
        <w:rPr>
          <w:rFonts w:hint="eastAsia" w:ascii="宋体"/>
          <w:color w:val="auto"/>
          <w:highlight w:val="none"/>
          <w:lang w:val="en-US" w:eastAsia="zh-CN"/>
        </w:rPr>
        <w:t>1.</w:t>
      </w:r>
      <w:r>
        <w:rPr>
          <w:rFonts w:hint="eastAsia"/>
          <w:color w:val="auto"/>
          <w:highlight w:val="none"/>
          <w:lang w:val="en-US" w:eastAsia="zh-CN"/>
        </w:rPr>
        <w:t>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pPr>
        <w:pStyle w:val="6"/>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w:t>
      </w:r>
      <w:r>
        <w:rPr>
          <w:rFonts w:hint="eastAsia"/>
          <w:color w:val="auto"/>
          <w:highlight w:val="none"/>
          <w:lang w:val="en-US" w:eastAsia="zh-CN"/>
        </w:rPr>
        <w:t>供应商</w:t>
      </w:r>
      <w:r>
        <w:rPr>
          <w:rFonts w:hint="eastAsia" w:ascii="宋体"/>
          <w:color w:val="auto"/>
          <w:highlight w:val="none"/>
          <w:lang w:val="en-US" w:eastAsia="zh-CN"/>
        </w:rPr>
        <w:t>所供</w:t>
      </w:r>
      <w:r>
        <w:rPr>
          <w:rFonts w:hint="eastAsia"/>
          <w:color w:val="auto"/>
          <w:highlight w:val="none"/>
          <w:lang w:val="en-US" w:eastAsia="zh-CN"/>
        </w:rPr>
        <w:t>的材料</w:t>
      </w:r>
      <w:r>
        <w:rPr>
          <w:rFonts w:hint="eastAsia" w:ascii="宋体"/>
          <w:color w:val="auto"/>
          <w:highlight w:val="none"/>
          <w:lang w:val="en-US" w:eastAsia="zh-CN"/>
        </w:rPr>
        <w:t>必须为合格正品，不得为假冒伪劣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r>
        <w:rPr>
          <w:rFonts w:hint="eastAsia"/>
          <w:color w:val="auto"/>
          <w:highlight w:val="none"/>
          <w:lang w:val="en-US" w:eastAsia="zh-CN"/>
        </w:rPr>
        <w:t>，必须在质保期内</w:t>
      </w:r>
      <w:r>
        <w:rPr>
          <w:rFonts w:hint="eastAsia" w:ascii="宋体"/>
          <w:color w:val="auto"/>
          <w:highlight w:val="none"/>
          <w:lang w:val="en-US" w:eastAsia="zh-CN"/>
        </w:rPr>
        <w:t>。</w:t>
      </w:r>
    </w:p>
    <w:p>
      <w:pPr>
        <w:pStyle w:val="6"/>
        <w:ind w:firstLine="480" w:firstLineChars="200"/>
        <w:rPr>
          <w:rFonts w:hint="eastAsia"/>
          <w:highlight w:val="none"/>
          <w:lang w:val="en-US" w:eastAsia="zh-CN"/>
        </w:rPr>
      </w:pPr>
      <w:r>
        <w:rPr>
          <w:highlight w:val="none"/>
          <w:lang w:val="en-US"/>
        </w:rPr>
        <w:t>3</w:t>
      </w:r>
      <w:r>
        <w:rPr>
          <w:rFonts w:hint="eastAsia"/>
          <w:highlight w:val="none"/>
          <w:lang w:val="en-US"/>
        </w:rPr>
        <w:t>.</w:t>
      </w:r>
      <w:r>
        <w:rPr>
          <w:rFonts w:hint="eastAsia"/>
          <w:highlight w:val="none"/>
          <w:lang w:val="en-US" w:eastAsia="zh-CN"/>
        </w:rPr>
        <w:t>成品质保期限自验收合格后12个月，若质保期内出现质量问题（非质量问题除外），由供应商负责免费维修，产生的费用全部由供应商承担。</w:t>
      </w:r>
    </w:p>
    <w:p>
      <w:pPr>
        <w:pStyle w:val="14"/>
        <w:rPr>
          <w:rFonts w:hint="default"/>
          <w:lang w:val="en-US" w:eastAsia="zh-CN"/>
        </w:rPr>
      </w:pPr>
      <w:r>
        <w:rPr>
          <w:rFonts w:hint="eastAsia"/>
          <w:highlight w:val="none"/>
          <w:lang w:val="en-US" w:eastAsia="zh-CN"/>
        </w:rPr>
        <w:t>4.对钢管、焊缝、支架等成品要做油漆防腐处理。</w:t>
      </w:r>
    </w:p>
    <w:p>
      <w:pPr>
        <w:pStyle w:val="6"/>
        <w:ind w:firstLine="480" w:firstLineChars="200"/>
        <w:rPr>
          <w:b/>
          <w:bCs/>
          <w:lang w:val="en-US"/>
        </w:rPr>
      </w:pPr>
      <w:r>
        <w:rPr>
          <w:rFonts w:hint="eastAsia" w:cs="仿宋" w:asciiTheme="minorEastAsia" w:hAnsiTheme="minorEastAsia"/>
          <w:kern w:val="0"/>
        </w:rPr>
        <w:t>▲</w:t>
      </w:r>
      <w:r>
        <w:rPr>
          <w:rFonts w:hint="eastAsia"/>
          <w:b/>
          <w:bCs/>
          <w:lang w:val="en-US" w:eastAsia="zh-CN"/>
        </w:rPr>
        <w:t>五</w:t>
      </w:r>
      <w:r>
        <w:rPr>
          <w:rFonts w:hint="eastAsia"/>
          <w:b/>
          <w:bCs/>
          <w:lang w:val="en-US"/>
        </w:rPr>
        <w:t>、验收方式</w:t>
      </w:r>
    </w:p>
    <w:p>
      <w:pPr>
        <w:pStyle w:val="6"/>
        <w:numPr>
          <w:ilvl w:val="0"/>
          <w:numId w:val="0"/>
        </w:numPr>
        <w:ind w:firstLine="480" w:firstLineChars="200"/>
        <w:rPr>
          <w:rFonts w:hint="eastAsia"/>
          <w:color w:val="auto"/>
          <w:lang w:val="en-US" w:eastAsia="zh-CN"/>
        </w:rPr>
      </w:pPr>
      <w:r>
        <w:rPr>
          <w:rFonts w:hint="eastAsia" w:ascii="宋体" w:hAnsi="Arial" w:cs="Arial" w:eastAsiaTheme="minorEastAsia"/>
          <w:snapToGrid w:val="0"/>
          <w:color w:val="auto"/>
          <w:kern w:val="2"/>
          <w:sz w:val="24"/>
          <w:szCs w:val="21"/>
          <w:lang w:val="en-US" w:eastAsia="zh-CN" w:bidi="ar-SA"/>
        </w:rPr>
        <w:t>1.</w:t>
      </w:r>
      <w:r>
        <w:rPr>
          <w:rFonts w:hint="eastAsia"/>
          <w:lang w:val="en-US" w:eastAsia="zh-CN"/>
        </w:rPr>
        <w:t>供应商</w:t>
      </w:r>
      <w:r>
        <w:rPr>
          <w:rFonts w:hint="eastAsia"/>
          <w:lang w:val="en-US"/>
        </w:rPr>
        <w:t>须提供该批次货物</w:t>
      </w:r>
      <w:r>
        <w:rPr>
          <w:rFonts w:hint="eastAsia"/>
          <w:highlight w:val="none"/>
          <w:lang w:val="en-US" w:eastAsia="zh-CN"/>
        </w:rPr>
        <w:t>生产厂家的</w:t>
      </w:r>
      <w:r>
        <w:rPr>
          <w:rFonts w:hint="eastAsia"/>
          <w:color w:val="auto"/>
          <w:lang w:val="en-US" w:eastAsia="zh-CN"/>
        </w:rPr>
        <w:t>合格证或质量证明材料（进口货物提供质量证明材料，如报关单、原产地证明、质量证明等一种或者多种纸质材料，国产货物提供合格证等纸质材料）和送货单，配合采购人做好货物的到货数量验收工作，将货物运达采购人指定交货地点后及时书面通知采购人。</w:t>
      </w:r>
    </w:p>
    <w:p>
      <w:pPr>
        <w:pStyle w:val="6"/>
        <w:numPr>
          <w:ilvl w:val="0"/>
          <w:numId w:val="0"/>
        </w:numPr>
        <w:ind w:firstLine="480" w:firstLineChars="200"/>
        <w:rPr>
          <w:lang w:val="en-US"/>
        </w:rPr>
      </w:pPr>
      <w:r>
        <w:rPr>
          <w:rFonts w:ascii="宋体" w:hAnsi="Arial" w:cs="Arial" w:eastAsiaTheme="minorEastAsia"/>
          <w:snapToGrid w:val="0"/>
          <w:kern w:val="2"/>
          <w:sz w:val="24"/>
          <w:szCs w:val="21"/>
          <w:lang w:val="en-US" w:eastAsia="zh-CN" w:bidi="ar-SA"/>
        </w:rPr>
        <w:t>2.</w:t>
      </w:r>
      <w:r>
        <w:rPr>
          <w:rFonts w:hint="eastAsia"/>
          <w:color w:val="auto"/>
          <w:lang w:val="en-US" w:eastAsia="zh-CN"/>
        </w:rPr>
        <w:t>双方指定人员现场确认安装质量并由双方签字确认。</w:t>
      </w:r>
    </w:p>
    <w:p>
      <w:pPr>
        <w:pStyle w:val="6"/>
        <w:ind w:firstLine="480" w:firstLineChars="200"/>
        <w:rPr>
          <w:b/>
          <w:bCs/>
          <w:lang w:val="en-US"/>
        </w:rPr>
      </w:pPr>
      <w:r>
        <w:rPr>
          <w:rFonts w:hint="eastAsia" w:cs="仿宋" w:asciiTheme="minorEastAsia" w:hAnsiTheme="minorEastAsia"/>
          <w:kern w:val="0"/>
        </w:rPr>
        <w:t>▲</w:t>
      </w:r>
      <w:r>
        <w:rPr>
          <w:rFonts w:hint="eastAsia"/>
          <w:b/>
          <w:bCs/>
          <w:lang w:val="en-US"/>
        </w:rPr>
        <w:t>五、服务要求</w:t>
      </w:r>
    </w:p>
    <w:p>
      <w:pPr>
        <w:pStyle w:val="6"/>
        <w:numPr>
          <w:ilvl w:val="0"/>
          <w:numId w:val="0"/>
        </w:numPr>
        <w:ind w:firstLine="480" w:firstLineChars="200"/>
        <w:rPr>
          <w:rFonts w:hint="eastAsia"/>
          <w:lang w:val="en-US"/>
        </w:rPr>
      </w:pPr>
      <w:r>
        <w:rPr>
          <w:rFonts w:hint="eastAsia" w:ascii="宋体" w:hAnsi="Arial" w:cs="Arial" w:eastAsiaTheme="minorEastAsia"/>
          <w:snapToGrid w:val="0"/>
          <w:kern w:val="2"/>
          <w:sz w:val="24"/>
          <w:szCs w:val="21"/>
          <w:lang w:val="en-US" w:eastAsia="zh-CN" w:bidi="ar-SA"/>
        </w:rPr>
        <w:t>1.</w:t>
      </w:r>
      <w:r>
        <w:rPr>
          <w:rFonts w:hint="eastAsia"/>
          <w:lang w:val="en-US"/>
        </w:rPr>
        <w:t>根据采购人生产计划，确定</w:t>
      </w:r>
      <w:r>
        <w:rPr>
          <w:rFonts w:hint="eastAsia"/>
          <w:lang w:val="en-US" w:eastAsia="zh-CN"/>
        </w:rPr>
        <w:t>供货及安装要求</w:t>
      </w:r>
      <w:r>
        <w:rPr>
          <w:rFonts w:hint="eastAsia"/>
          <w:lang w:val="en-US"/>
        </w:rPr>
        <w:t>，</w:t>
      </w:r>
      <w:r>
        <w:rPr>
          <w:rFonts w:hint="eastAsia"/>
          <w:lang w:val="en-US" w:eastAsia="zh-CN"/>
        </w:rPr>
        <w:t>供应商</w:t>
      </w:r>
      <w:r>
        <w:rPr>
          <w:rFonts w:hint="eastAsia"/>
          <w:lang w:val="en-US"/>
        </w:rPr>
        <w:t>负责在接到采购人电话或书面通知后在</w:t>
      </w:r>
      <w:r>
        <w:rPr>
          <w:rFonts w:hint="eastAsia"/>
          <w:lang w:val="en-US" w:eastAsia="zh-CN"/>
        </w:rPr>
        <w:t>30天</w:t>
      </w:r>
      <w:r>
        <w:rPr>
          <w:rFonts w:hint="eastAsia"/>
          <w:lang w:val="en-US"/>
        </w:rPr>
        <w:t>内</w:t>
      </w:r>
      <w:r>
        <w:rPr>
          <w:rFonts w:hint="eastAsia"/>
          <w:lang w:val="en-US" w:eastAsia="zh-CN"/>
        </w:rPr>
        <w:t>完成</w:t>
      </w:r>
      <w:r>
        <w:rPr>
          <w:rFonts w:hint="eastAsia"/>
          <w:lang w:val="en-US"/>
        </w:rPr>
        <w:t>供货</w:t>
      </w:r>
      <w:r>
        <w:rPr>
          <w:rFonts w:hint="eastAsia"/>
          <w:lang w:val="en-US" w:eastAsia="zh-CN"/>
        </w:rPr>
        <w:t>、安装及调试</w:t>
      </w:r>
      <w:r>
        <w:rPr>
          <w:rFonts w:hint="eastAsia"/>
          <w:lang w:val="en-US"/>
        </w:rPr>
        <w:t>。</w:t>
      </w:r>
    </w:p>
    <w:p>
      <w:pPr>
        <w:pStyle w:val="6"/>
        <w:numPr>
          <w:ilvl w:val="0"/>
          <w:numId w:val="0"/>
        </w:numPr>
        <w:ind w:firstLine="480" w:firstLineChars="200"/>
        <w:rPr>
          <w:rFonts w:hint="eastAsia"/>
          <w:lang w:val="en-US"/>
        </w:rPr>
      </w:pPr>
      <w:r>
        <w:rPr>
          <w:rFonts w:ascii="宋体" w:hAnsi="Arial" w:cs="Arial" w:eastAsiaTheme="minorEastAsia"/>
          <w:snapToGrid w:val="0"/>
          <w:kern w:val="2"/>
          <w:sz w:val="24"/>
          <w:szCs w:val="21"/>
          <w:lang w:val="en-US" w:eastAsia="zh-CN" w:bidi="ar-SA"/>
        </w:rPr>
        <w:t>2.</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承担，采购人可免费提供叉车服务。</w:t>
      </w:r>
    </w:p>
    <w:p>
      <w:pPr>
        <w:pStyle w:val="6"/>
        <w:ind w:firstLine="480" w:firstLineChars="200"/>
        <w:rPr>
          <w:rFonts w:hint="eastAsia"/>
          <w:lang w:val="en-US"/>
        </w:rPr>
      </w:pPr>
      <w:r>
        <w:rPr>
          <w:rFonts w:hint="eastAsia"/>
          <w:lang w:val="en-US" w:eastAsia="zh-CN"/>
        </w:rPr>
        <w:t>3</w:t>
      </w:r>
      <w:r>
        <w:rPr>
          <w:rFonts w:hint="eastAsia"/>
          <w:lang w:val="en-US"/>
        </w:rPr>
        <w:t>.</w:t>
      </w:r>
      <w:r>
        <w:rPr>
          <w:rFonts w:hint="eastAsia"/>
          <w:lang w:val="en-US" w:eastAsia="zh-CN"/>
        </w:rPr>
        <w:t>供应商的作业人员必须具备相应的资质要求（焊工证、登高证等）。</w:t>
      </w:r>
    </w:p>
    <w:p>
      <w:pPr>
        <w:pStyle w:val="6"/>
        <w:ind w:firstLine="480" w:firstLineChars="200"/>
        <w:rPr>
          <w:b/>
          <w:bCs/>
          <w:lang w:val="en-US"/>
        </w:rPr>
      </w:pPr>
      <w:r>
        <w:rPr>
          <w:rFonts w:hint="eastAsia" w:cs="仿宋" w:asciiTheme="minorEastAsia" w:hAnsiTheme="minorEastAsia"/>
          <w:kern w:val="0"/>
        </w:rPr>
        <w:t>▲</w:t>
      </w:r>
      <w:r>
        <w:rPr>
          <w:rFonts w:hint="eastAsia"/>
          <w:b/>
          <w:bCs/>
          <w:lang w:val="en-US"/>
        </w:rPr>
        <w:t>六、结算方式</w:t>
      </w:r>
    </w:p>
    <w:p>
      <w:pPr>
        <w:pStyle w:val="14"/>
        <w:ind w:firstLine="480" w:firstLineChars="200"/>
        <w:rPr>
          <w:lang w:val="en-US"/>
        </w:rPr>
      </w:pPr>
      <w:r>
        <w:rPr>
          <w:rFonts w:hint="eastAsia"/>
          <w:lang w:val="en-US"/>
        </w:rPr>
        <w:t>以本询价采购文件中的合同条款为准。</w:t>
      </w:r>
    </w:p>
    <w:p>
      <w:pPr>
        <w:pStyle w:val="6"/>
        <w:ind w:firstLine="480" w:firstLineChars="200"/>
        <w:rPr>
          <w:b/>
          <w:bCs/>
          <w:lang w:val="en-US"/>
        </w:rPr>
      </w:pPr>
      <w:r>
        <w:rPr>
          <w:rFonts w:hint="eastAsia" w:cs="仿宋" w:asciiTheme="minorEastAsia" w:hAnsiTheme="minorEastAsia"/>
          <w:kern w:val="0"/>
        </w:rPr>
        <w:t>▲</w:t>
      </w:r>
      <w:r>
        <w:rPr>
          <w:rFonts w:hint="eastAsia"/>
          <w:b/>
          <w:bCs/>
          <w:lang w:val="en-US"/>
        </w:rPr>
        <w:t>七、售后要求</w:t>
      </w:r>
    </w:p>
    <w:p>
      <w:pPr>
        <w:pStyle w:val="6"/>
        <w:ind w:firstLine="480" w:firstLineChars="200"/>
        <w:rPr>
          <w:rFonts w:hint="eastAsia" w:ascii="宋体"/>
          <w:lang w:val="en-US"/>
        </w:rPr>
      </w:pPr>
      <w:r>
        <w:rPr>
          <w:rFonts w:hint="eastAsia"/>
          <w:lang w:val="en-US" w:eastAsia="zh-CN"/>
        </w:rPr>
        <w:t>1.供应商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采购人通知后必须</w:t>
      </w:r>
      <w:r>
        <w:rPr>
          <w:rFonts w:hint="eastAsia"/>
          <w:lang w:val="en-US" w:eastAsia="zh-CN"/>
        </w:rPr>
        <w:t>24</w:t>
      </w:r>
      <w:r>
        <w:rPr>
          <w:rFonts w:hint="eastAsia" w:ascii="宋体"/>
          <w:lang w:val="en-US"/>
        </w:rPr>
        <w:t>小时内赶到现场进行处理，</w:t>
      </w:r>
      <w:r>
        <w:rPr>
          <w:rFonts w:hint="eastAsia"/>
          <w:lang w:val="en-US" w:eastAsia="zh-CN"/>
        </w:rPr>
        <w:t>8</w:t>
      </w:r>
      <w:r>
        <w:rPr>
          <w:rFonts w:hint="eastAsia" w:ascii="宋体"/>
          <w:lang w:val="en-US"/>
        </w:rPr>
        <w:t>小时内做出书面答复并提供解决方案。若需要派遣技术人员，则应在接到采购人通知后</w:t>
      </w:r>
      <w:r>
        <w:rPr>
          <w:rFonts w:hint="eastAsia"/>
          <w:lang w:val="en-US" w:eastAsia="zh-CN"/>
        </w:rPr>
        <w:t>，</w:t>
      </w:r>
      <w:r>
        <w:rPr>
          <w:rFonts w:hint="eastAsia" w:ascii="宋体"/>
          <w:lang w:val="en-US"/>
        </w:rPr>
        <w:t>24小时内派人员到达现场进行免费指导解决问题。</w:t>
      </w:r>
    </w:p>
    <w:p>
      <w:pPr>
        <w:pStyle w:val="6"/>
        <w:ind w:firstLine="480" w:firstLineChars="200"/>
        <w:rPr>
          <w:rFonts w:hint="eastAsia" w:ascii="宋体"/>
          <w:lang w:val="en-US"/>
        </w:rPr>
      </w:pPr>
      <w:r>
        <w:rPr>
          <w:rFonts w:hint="eastAsia"/>
          <w:lang w:val="en-US" w:eastAsia="zh-CN"/>
        </w:rPr>
        <w:t>2</w:t>
      </w:r>
      <w:r>
        <w:rPr>
          <w:rFonts w:hint="eastAsia" w:ascii="宋体"/>
          <w:lang w:val="en-US"/>
        </w:rPr>
        <w:t>.采购人不再对任何售后服务进行付费。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pPr>
        <w:pStyle w:val="6"/>
        <w:ind w:firstLine="480" w:firstLineChars="200"/>
        <w:rPr>
          <w:rFonts w:hint="eastAsia" w:ascii="宋体"/>
          <w:lang w:val="en-US"/>
        </w:rPr>
      </w:pPr>
      <w:r>
        <w:rPr>
          <w:rFonts w:hint="eastAsia"/>
          <w:lang w:val="en-US" w:eastAsia="zh-CN"/>
        </w:rPr>
        <w:t>3</w:t>
      </w:r>
      <w:r>
        <w:rPr>
          <w:rFonts w:hint="eastAsia" w:ascii="宋体"/>
          <w:lang w:val="en-US"/>
        </w:rPr>
        <w:t>.在设备使用过程中，因产品质量问题给他机械设备造成故障或货物损坏，由供应商承担采购人的一切损失，包括直接和间接损失。</w:t>
      </w:r>
    </w:p>
    <w:p>
      <w:r>
        <w:rPr>
          <w:rFonts w:hint="eastAsia" w:ascii="宋体"/>
          <w:lang w:val="en-US"/>
        </w:rPr>
        <w:br w:type="page"/>
      </w:r>
    </w:p>
    <w:p>
      <w:pPr>
        <w:spacing w:line="460" w:lineRule="exact"/>
        <w:jc w:val="left"/>
        <w:rPr>
          <w:rFonts w:hint="eastAsia" w:ascii="宋体" w:hAnsi="Arial" w:cs="Arial" w:eastAsiaTheme="minorEastAsia"/>
          <w:b/>
          <w:bCs/>
          <w:snapToGrid w:val="0"/>
          <w:kern w:val="2"/>
          <w:sz w:val="24"/>
          <w:szCs w:val="21"/>
          <w:lang w:val="en-US" w:eastAsia="zh-CN" w:bidi="ar-SA"/>
        </w:rPr>
      </w:pPr>
    </w:p>
    <w:p>
      <w:pPr>
        <w:spacing w:line="460" w:lineRule="exact"/>
        <w:jc w:val="left"/>
        <w:rPr>
          <w:rFonts w:hint="eastAsia" w:ascii="宋体" w:hAnsi="Arial" w:cs="Arial"/>
          <w:b w:val="0"/>
          <w:bCs w:val="0"/>
          <w:snapToGrid w:val="0"/>
          <w:kern w:val="2"/>
          <w:sz w:val="24"/>
          <w:szCs w:val="24"/>
          <w:lang w:val="en-US" w:eastAsia="zh-CN" w:bidi="ar-SA"/>
        </w:rPr>
      </w:pPr>
      <w:r>
        <w:rPr>
          <w:rFonts w:hint="eastAsia" w:ascii="宋体" w:hAnsi="Arial" w:cs="Arial"/>
          <w:b/>
          <w:bCs/>
          <w:snapToGrid w:val="0"/>
          <w:kern w:val="2"/>
          <w:sz w:val="24"/>
          <w:szCs w:val="21"/>
          <w:lang w:val="en-US" w:eastAsia="zh-CN" w:bidi="ar-SA"/>
        </w:rPr>
        <w:t>附图：</w:t>
      </w:r>
      <w:r>
        <w:rPr>
          <w:rFonts w:hint="default" w:ascii="宋体" w:hAnsi="Arial" w:cs="Arial" w:eastAsiaTheme="minorEastAsia"/>
          <w:b w:val="0"/>
          <w:bCs w:val="0"/>
          <w:snapToGrid w:val="0"/>
          <w:kern w:val="2"/>
          <w:sz w:val="24"/>
          <w:szCs w:val="24"/>
          <w:lang w:val="en-US" w:eastAsia="zh-CN" w:bidi="ar-SA"/>
        </w:rPr>
        <w:t>液碱制备间至反应塔底的管道标高为+5米，反应塔底爬升至反应塔顶的标高为+37.156米</w:t>
      </w:r>
      <w:r>
        <w:rPr>
          <w:rFonts w:hint="eastAsia" w:ascii="宋体" w:hAnsi="Arial" w:cs="Arial"/>
          <w:b w:val="0"/>
          <w:bCs w:val="0"/>
          <w:snapToGrid w:val="0"/>
          <w:kern w:val="2"/>
          <w:sz w:val="24"/>
          <w:szCs w:val="24"/>
          <w:lang w:val="en-US" w:eastAsia="zh-CN" w:bidi="ar-SA"/>
        </w:rPr>
        <w:t>。</w:t>
      </w:r>
    </w:p>
    <w:p>
      <w:pPr>
        <w:spacing w:line="460" w:lineRule="exact"/>
        <w:jc w:val="left"/>
        <w:rPr>
          <w:rFonts w:hint="default" w:ascii="宋体" w:hAnsi="Arial" w:cs="Arial"/>
          <w:b w:val="0"/>
          <w:bCs w:val="0"/>
          <w:snapToGrid w:val="0"/>
          <w:kern w:val="2"/>
          <w:sz w:val="24"/>
          <w:szCs w:val="24"/>
          <w:lang w:val="en-US" w:eastAsia="zh-CN" w:bidi="ar-SA"/>
        </w:rPr>
      </w:pPr>
      <w:r>
        <w:rPr>
          <w:rFonts w:hint="eastAsia" w:ascii="宋体" w:hAnsi="Arial" w:cs="Arial"/>
          <w:b w:val="0"/>
          <w:bCs w:val="0"/>
          <w:snapToGrid w:val="0"/>
          <w:kern w:val="2"/>
          <w:sz w:val="24"/>
          <w:szCs w:val="24"/>
          <w:lang w:val="en-US" w:eastAsia="zh-CN" w:bidi="ar-SA"/>
        </w:rPr>
        <w:t>1.平面布置图：</w:t>
      </w:r>
    </w:p>
    <w:p>
      <w:pPr>
        <w:spacing w:line="460" w:lineRule="exact"/>
        <w:jc w:val="left"/>
        <w:rPr>
          <w:rFonts w:hint="default" w:ascii="宋体" w:hAnsi="Arial" w:cs="Arial"/>
          <w:b w:val="0"/>
          <w:bCs w:val="0"/>
          <w:snapToGrid w:val="0"/>
          <w:kern w:val="2"/>
          <w:sz w:val="24"/>
          <w:szCs w:val="24"/>
          <w:lang w:val="en-US" w:eastAsia="zh-CN" w:bidi="ar-SA"/>
        </w:rPr>
      </w:pPr>
      <w:r>
        <w:rPr>
          <w:rFonts w:hint="eastAsia" w:ascii="宋体" w:hAnsi="宋体" w:eastAsia="宋体" w:cs="宋体"/>
          <w:lang w:val="en-US" w:eastAsia="zh-CN"/>
        </w:rPr>
        <w:drawing>
          <wp:anchor distT="0" distB="0" distL="114300" distR="114300" simplePos="0" relativeHeight="251665408" behindDoc="0" locked="0" layoutInCell="1" allowOverlap="1">
            <wp:simplePos x="0" y="0"/>
            <wp:positionH relativeFrom="column">
              <wp:posOffset>130175</wp:posOffset>
            </wp:positionH>
            <wp:positionV relativeFrom="paragraph">
              <wp:posOffset>37465</wp:posOffset>
            </wp:positionV>
            <wp:extent cx="5271770" cy="3733800"/>
            <wp:effectExtent l="0" t="0" r="5080" b="0"/>
            <wp:wrapSquare wrapText="bothSides"/>
            <wp:docPr id="16" name="图片 16" descr="总平面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总平面图1"/>
                    <pic:cNvPicPr>
                      <a:picLocks noChangeAspect="1"/>
                    </pic:cNvPicPr>
                  </pic:nvPicPr>
                  <pic:blipFill>
                    <a:blip r:embed="rId23"/>
                    <a:stretch>
                      <a:fillRect/>
                    </a:stretch>
                  </pic:blipFill>
                  <pic:spPr>
                    <a:xfrm>
                      <a:off x="0" y="0"/>
                      <a:ext cx="5271770" cy="3733800"/>
                    </a:xfrm>
                    <a:prstGeom prst="rect">
                      <a:avLst/>
                    </a:prstGeom>
                  </pic:spPr>
                </pic:pic>
              </a:graphicData>
            </a:graphic>
          </wp:anchor>
        </w:drawing>
      </w:r>
      <w:r>
        <w:rPr>
          <w:rFonts w:hint="eastAsia" w:ascii="宋体" w:hAnsi="Arial" w:cs="Arial"/>
          <w:b w:val="0"/>
          <w:bCs w:val="0"/>
          <w:snapToGrid w:val="0"/>
          <w:kern w:val="2"/>
          <w:sz w:val="24"/>
          <w:szCs w:val="24"/>
          <w:lang w:val="en-US" w:eastAsia="zh-CN" w:bidi="ar-SA"/>
        </w:rPr>
        <w:t>2.截面图：</w:t>
      </w:r>
    </w:p>
    <w:p>
      <w:pPr>
        <w:spacing w:line="460" w:lineRule="exact"/>
        <w:jc w:val="left"/>
        <w:rPr>
          <w:rFonts w:hint="default" w:ascii="宋体" w:hAnsi="Arial" w:cs="Arial"/>
          <w:b w:val="0"/>
          <w:bCs w:val="0"/>
          <w:snapToGrid w:val="0"/>
          <w:kern w:val="2"/>
          <w:sz w:val="24"/>
          <w:szCs w:val="24"/>
          <w:lang w:val="en-US" w:eastAsia="zh-CN" w:bidi="ar-SA"/>
        </w:rPr>
      </w:pPr>
      <w:r>
        <w:rPr>
          <w:rFonts w:hint="default"/>
          <w:lang w:val="en-US" w:eastAsia="zh-CN"/>
        </w:rPr>
        <w:drawing>
          <wp:anchor distT="0" distB="0" distL="114300" distR="114300" simplePos="0" relativeHeight="251666432" behindDoc="0" locked="0" layoutInCell="1" allowOverlap="1">
            <wp:simplePos x="0" y="0"/>
            <wp:positionH relativeFrom="column">
              <wp:posOffset>112395</wp:posOffset>
            </wp:positionH>
            <wp:positionV relativeFrom="paragraph">
              <wp:posOffset>160020</wp:posOffset>
            </wp:positionV>
            <wp:extent cx="5268595" cy="3278505"/>
            <wp:effectExtent l="0" t="0" r="8255" b="17145"/>
            <wp:wrapSquare wrapText="bothSides"/>
            <wp:docPr id="17" name="图片 17" descr="C:\Users\70897\Desktop\液碱喷淋改造图纸\截面图3.jpg截面图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70897\Desktop\液碱喷淋改造图纸\截面图3.jpg截面图3"/>
                    <pic:cNvPicPr>
                      <a:picLocks noChangeAspect="1"/>
                    </pic:cNvPicPr>
                  </pic:nvPicPr>
                  <pic:blipFill>
                    <a:blip r:embed="rId24"/>
                    <a:srcRect/>
                    <a:stretch>
                      <a:fillRect/>
                    </a:stretch>
                  </pic:blipFill>
                  <pic:spPr>
                    <a:xfrm>
                      <a:off x="0" y="0"/>
                      <a:ext cx="5268595" cy="3278505"/>
                    </a:xfrm>
                    <a:prstGeom prst="rect">
                      <a:avLst/>
                    </a:prstGeom>
                  </pic:spPr>
                </pic:pic>
              </a:graphicData>
            </a:graphic>
          </wp:anchor>
        </w:drawing>
      </w:r>
    </w:p>
    <w:p>
      <w:pPr>
        <w:spacing w:line="460" w:lineRule="exact"/>
        <w:jc w:val="left"/>
        <w:rPr>
          <w:rFonts w:hint="default" w:ascii="宋体" w:hAnsi="Arial" w:cs="Arial"/>
          <w:b w:val="0"/>
          <w:bCs w:val="0"/>
          <w:snapToGrid w:val="0"/>
          <w:kern w:val="2"/>
          <w:sz w:val="24"/>
          <w:szCs w:val="24"/>
          <w:lang w:val="en-US" w:eastAsia="zh-CN" w:bidi="ar-SA"/>
        </w:rPr>
      </w:pPr>
      <w:r>
        <w:rPr>
          <w:rFonts w:hint="eastAsia" w:ascii="宋体" w:hAnsi="Arial" w:cs="Arial"/>
          <w:b w:val="0"/>
          <w:bCs w:val="0"/>
          <w:snapToGrid w:val="0"/>
          <w:kern w:val="2"/>
          <w:sz w:val="24"/>
          <w:szCs w:val="24"/>
          <w:lang w:val="en-US" w:eastAsia="zh-CN" w:bidi="ar-SA"/>
        </w:rPr>
        <w:t>3.接口示意图</w:t>
      </w:r>
    </w:p>
    <w:p>
      <w:pPr>
        <w:jc w:val="center"/>
        <w:rPr>
          <w:rFonts w:hint="default"/>
          <w:lang w:val="en-US" w:eastAsia="zh-CN"/>
        </w:rPr>
      </w:pPr>
      <w:r>
        <w:rPr>
          <w:rFonts w:hint="default"/>
          <w:lang w:val="en-US" w:eastAsia="zh-CN"/>
        </w:rPr>
        <w:drawing>
          <wp:inline distT="0" distB="0" distL="114300" distR="114300">
            <wp:extent cx="6037580" cy="3543300"/>
            <wp:effectExtent l="0" t="0" r="1270" b="0"/>
            <wp:docPr id="18" name="图片 18" descr="C:\Users\70897\Desktop\液碱喷淋改造图纸\反应塔顶接管图2.png反应塔顶接管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Users\70897\Desktop\液碱喷淋改造图纸\反应塔顶接管图2.png反应塔顶接管图2"/>
                    <pic:cNvPicPr>
                      <a:picLocks noChangeAspect="1"/>
                    </pic:cNvPicPr>
                  </pic:nvPicPr>
                  <pic:blipFill>
                    <a:blip r:embed="rId25"/>
                    <a:srcRect/>
                    <a:stretch>
                      <a:fillRect/>
                    </a:stretch>
                  </pic:blipFill>
                  <pic:spPr>
                    <a:xfrm>
                      <a:off x="0" y="0"/>
                      <a:ext cx="6037580" cy="3543300"/>
                    </a:xfrm>
                    <a:prstGeom prst="rect">
                      <a:avLst/>
                    </a:prstGeom>
                  </pic:spPr>
                </pic:pic>
              </a:graphicData>
            </a:graphic>
          </wp:inline>
        </w:drawing>
      </w:r>
    </w:p>
    <w:p>
      <w:pPr>
        <w:numPr>
          <w:ilvl w:val="0"/>
          <w:numId w:val="1"/>
        </w:numPr>
        <w:jc w:val="left"/>
        <w:rPr>
          <w:rFonts w:hint="eastAsia"/>
          <w:lang w:val="en-US" w:eastAsia="zh-CN"/>
        </w:rPr>
      </w:pPr>
      <w:r>
        <w:rPr>
          <w:rFonts w:hint="eastAsia"/>
          <w:lang w:val="en-US" w:eastAsia="zh-CN"/>
        </w:rPr>
        <w:t>接线示意图：</w:t>
      </w:r>
    </w:p>
    <w:p>
      <w:pPr>
        <w:numPr>
          <w:ilvl w:val="0"/>
          <w:numId w:val="0"/>
        </w:numPr>
        <w:jc w:val="left"/>
        <w:rPr>
          <w:rFonts w:cs="仿宋" w:asciiTheme="minorEastAsia" w:hAnsiTheme="minorEastAsia"/>
          <w:b/>
          <w:sz w:val="36"/>
          <w:szCs w:val="36"/>
        </w:rPr>
      </w:pPr>
      <w:r>
        <w:drawing>
          <wp:inline distT="0" distB="0" distL="114300" distR="114300">
            <wp:extent cx="5642610" cy="4039235"/>
            <wp:effectExtent l="0" t="0" r="15240" b="1841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26"/>
                    <a:stretch>
                      <a:fillRect/>
                    </a:stretch>
                  </pic:blipFill>
                  <pic:spPr>
                    <a:xfrm>
                      <a:off x="0" y="0"/>
                      <a:ext cx="5642610" cy="4039235"/>
                    </a:xfrm>
                    <a:prstGeom prst="rect">
                      <a:avLst/>
                    </a:prstGeom>
                    <a:noFill/>
                    <a:ln>
                      <a:noFill/>
                    </a:ln>
                  </pic:spPr>
                </pic:pic>
              </a:graphicData>
            </a:graphic>
          </wp:inline>
        </w:drawing>
      </w:r>
      <w:r>
        <w:rPr>
          <w:rFonts w:cs="仿宋" w:asciiTheme="minorEastAsia" w:hAnsiTheme="minorEastAsia"/>
          <w:b/>
          <w:sz w:val="36"/>
          <w:szCs w:val="36"/>
        </w:rPr>
        <w:br w:type="page"/>
      </w:r>
    </w:p>
    <w:p>
      <w:pP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19" w:name="_Toc184313269"/>
      <w:bookmarkEnd w:id="19"/>
      <w:bookmarkStart w:id="20" w:name="_Toc184312107"/>
      <w:bookmarkEnd w:id="20"/>
      <w:bookmarkStart w:id="21" w:name="_Toc184312122"/>
      <w:bookmarkEnd w:id="21"/>
      <w:bookmarkStart w:id="22" w:name="_Toc184308053"/>
      <w:bookmarkEnd w:id="22"/>
      <w:bookmarkStart w:id="23" w:name="_Toc184312111"/>
      <w:bookmarkEnd w:id="23"/>
      <w:bookmarkStart w:id="24" w:name="_Toc184313239"/>
      <w:bookmarkEnd w:id="24"/>
      <w:bookmarkStart w:id="25" w:name="_Toc184313244"/>
      <w:bookmarkEnd w:id="25"/>
      <w:bookmarkStart w:id="26" w:name="_Toc184312128"/>
      <w:bookmarkEnd w:id="26"/>
      <w:bookmarkStart w:id="27" w:name="_Toc184312088"/>
      <w:bookmarkEnd w:id="27"/>
      <w:bookmarkStart w:id="28" w:name="_Toc184314430"/>
      <w:bookmarkEnd w:id="28"/>
      <w:bookmarkStart w:id="29" w:name="_Toc184308045"/>
      <w:bookmarkEnd w:id="29"/>
      <w:bookmarkStart w:id="30" w:name="_Toc184308087"/>
      <w:bookmarkEnd w:id="30"/>
      <w:bookmarkStart w:id="31" w:name="_Toc184312075"/>
      <w:bookmarkEnd w:id="31"/>
      <w:bookmarkStart w:id="32" w:name="_Toc184312072"/>
      <w:bookmarkEnd w:id="32"/>
      <w:bookmarkStart w:id="33" w:name="_Toc184312117"/>
      <w:bookmarkEnd w:id="33"/>
      <w:bookmarkStart w:id="34" w:name="_Toc184310334"/>
      <w:bookmarkEnd w:id="34"/>
      <w:bookmarkStart w:id="35" w:name="_Toc184314468"/>
      <w:bookmarkEnd w:id="35"/>
      <w:bookmarkStart w:id="36" w:name="_Toc184314441"/>
      <w:bookmarkEnd w:id="36"/>
      <w:bookmarkStart w:id="37" w:name="_Toc184313296"/>
      <w:bookmarkEnd w:id="37"/>
      <w:bookmarkStart w:id="38" w:name="_Toc184310321"/>
      <w:bookmarkEnd w:id="38"/>
      <w:bookmarkStart w:id="39" w:name="_Toc184313249"/>
      <w:bookmarkEnd w:id="39"/>
      <w:bookmarkStart w:id="40" w:name="_Toc184308086"/>
      <w:bookmarkEnd w:id="40"/>
      <w:bookmarkStart w:id="41" w:name="_Toc184313255"/>
      <w:bookmarkEnd w:id="41"/>
      <w:bookmarkStart w:id="42" w:name="_Toc184313272"/>
      <w:bookmarkEnd w:id="42"/>
      <w:bookmarkStart w:id="43" w:name="_Toc184313268"/>
      <w:bookmarkEnd w:id="43"/>
      <w:bookmarkStart w:id="44" w:name="_Toc184308056"/>
      <w:bookmarkEnd w:id="44"/>
      <w:bookmarkStart w:id="45" w:name="_Toc184310300"/>
      <w:bookmarkEnd w:id="45"/>
      <w:bookmarkStart w:id="46" w:name="_Toc184313289"/>
      <w:bookmarkEnd w:id="46"/>
      <w:bookmarkStart w:id="47" w:name="_Toc184314442"/>
      <w:bookmarkEnd w:id="47"/>
      <w:bookmarkStart w:id="48" w:name="_Toc184308085"/>
      <w:bookmarkEnd w:id="48"/>
      <w:bookmarkStart w:id="49" w:name="_Toc184314428"/>
      <w:bookmarkEnd w:id="49"/>
      <w:bookmarkStart w:id="50" w:name="_Toc184310283"/>
      <w:bookmarkEnd w:id="50"/>
      <w:bookmarkStart w:id="51" w:name="_Toc184314458"/>
      <w:bookmarkEnd w:id="51"/>
      <w:bookmarkStart w:id="52" w:name="_Toc184314449"/>
      <w:bookmarkEnd w:id="52"/>
      <w:bookmarkStart w:id="53" w:name="_Toc184310322"/>
      <w:bookmarkEnd w:id="53"/>
      <w:bookmarkStart w:id="54" w:name="_Toc184308054"/>
      <w:bookmarkEnd w:id="54"/>
      <w:bookmarkStart w:id="55" w:name="_Toc184310333"/>
      <w:bookmarkEnd w:id="55"/>
      <w:bookmarkStart w:id="56" w:name="_Toc184310285"/>
      <w:bookmarkEnd w:id="56"/>
      <w:bookmarkStart w:id="57" w:name="_Toc184314452"/>
      <w:bookmarkEnd w:id="57"/>
      <w:bookmarkStart w:id="58" w:name="_Toc184310338"/>
      <w:bookmarkEnd w:id="58"/>
      <w:bookmarkStart w:id="59" w:name="_Toc184312076"/>
      <w:bookmarkEnd w:id="59"/>
      <w:bookmarkStart w:id="60" w:name="_Toc184312079"/>
      <w:bookmarkEnd w:id="60"/>
      <w:bookmarkStart w:id="61" w:name="_Toc184312131"/>
      <w:bookmarkEnd w:id="61"/>
      <w:bookmarkStart w:id="62" w:name="_Toc184314466"/>
      <w:bookmarkEnd w:id="62"/>
      <w:bookmarkStart w:id="63" w:name="_Toc184312093"/>
      <w:bookmarkEnd w:id="63"/>
      <w:bookmarkStart w:id="64" w:name="_Toc184310290"/>
      <w:bookmarkEnd w:id="64"/>
      <w:bookmarkStart w:id="65" w:name="_Toc184313294"/>
      <w:bookmarkEnd w:id="65"/>
      <w:bookmarkStart w:id="66" w:name="_Toc184308082"/>
      <w:bookmarkEnd w:id="66"/>
      <w:bookmarkStart w:id="67" w:name="_Toc184313246"/>
      <w:bookmarkEnd w:id="67"/>
      <w:bookmarkStart w:id="68" w:name="_Toc184308049"/>
      <w:bookmarkEnd w:id="68"/>
      <w:bookmarkStart w:id="69" w:name="_Toc184308095"/>
      <w:bookmarkEnd w:id="69"/>
      <w:bookmarkStart w:id="70" w:name="_Toc184308050"/>
      <w:bookmarkEnd w:id="70"/>
      <w:bookmarkStart w:id="71" w:name="_Toc184314436"/>
      <w:bookmarkEnd w:id="71"/>
      <w:bookmarkStart w:id="72" w:name="_Toc184312069"/>
      <w:bookmarkEnd w:id="72"/>
      <w:bookmarkStart w:id="73" w:name="_Toc184310299"/>
      <w:bookmarkEnd w:id="73"/>
      <w:bookmarkStart w:id="74" w:name="_Toc184314477"/>
      <w:bookmarkEnd w:id="74"/>
      <w:bookmarkStart w:id="75" w:name="_Toc184312103"/>
      <w:bookmarkEnd w:id="75"/>
      <w:bookmarkStart w:id="76" w:name="_Toc184313297"/>
      <w:bookmarkEnd w:id="76"/>
      <w:bookmarkStart w:id="77" w:name="_Toc184308058"/>
      <w:bookmarkEnd w:id="77"/>
      <w:bookmarkStart w:id="78" w:name="_Toc184308041"/>
      <w:bookmarkEnd w:id="78"/>
      <w:bookmarkStart w:id="79" w:name="_Toc184313248"/>
      <w:bookmarkEnd w:id="79"/>
      <w:bookmarkStart w:id="80" w:name="_Toc184310308"/>
      <w:bookmarkEnd w:id="80"/>
      <w:bookmarkStart w:id="81" w:name="_Toc184313251"/>
      <w:bookmarkEnd w:id="81"/>
      <w:bookmarkStart w:id="82" w:name="_Toc184314420"/>
      <w:bookmarkEnd w:id="82"/>
      <w:bookmarkStart w:id="83" w:name="_Toc184313282"/>
      <w:bookmarkEnd w:id="83"/>
      <w:bookmarkStart w:id="84" w:name="_Toc184310329"/>
      <w:bookmarkEnd w:id="84"/>
      <w:bookmarkStart w:id="85" w:name="_Toc184314450"/>
      <w:bookmarkEnd w:id="85"/>
      <w:bookmarkStart w:id="86" w:name="_Toc184310339"/>
      <w:bookmarkEnd w:id="86"/>
      <w:bookmarkStart w:id="87" w:name="_Toc184312138"/>
      <w:bookmarkEnd w:id="87"/>
      <w:bookmarkStart w:id="88" w:name="_Toc184313310"/>
      <w:bookmarkEnd w:id="88"/>
      <w:bookmarkStart w:id="89" w:name="_Toc184314416"/>
      <w:bookmarkEnd w:id="89"/>
      <w:bookmarkStart w:id="90" w:name="_Toc184314431"/>
      <w:bookmarkEnd w:id="90"/>
      <w:bookmarkStart w:id="91" w:name="_Toc184313252"/>
      <w:bookmarkEnd w:id="91"/>
      <w:bookmarkStart w:id="92" w:name="_Toc184313293"/>
      <w:bookmarkEnd w:id="92"/>
      <w:bookmarkStart w:id="93" w:name="_Toc184313300"/>
      <w:bookmarkEnd w:id="93"/>
      <w:bookmarkStart w:id="94" w:name="_Toc184308072"/>
      <w:bookmarkEnd w:id="94"/>
      <w:bookmarkStart w:id="95" w:name="_Toc184313261"/>
      <w:bookmarkEnd w:id="95"/>
      <w:bookmarkStart w:id="96" w:name="_Toc184308081"/>
      <w:bookmarkEnd w:id="96"/>
      <w:bookmarkStart w:id="97" w:name="_Toc184308038"/>
      <w:bookmarkEnd w:id="97"/>
      <w:bookmarkStart w:id="98" w:name="_Toc184314467"/>
      <w:bookmarkEnd w:id="98"/>
      <w:bookmarkStart w:id="99" w:name="_Toc184313308"/>
      <w:bookmarkEnd w:id="99"/>
      <w:bookmarkStart w:id="100" w:name="_Toc184310305"/>
      <w:bookmarkEnd w:id="100"/>
      <w:bookmarkStart w:id="101" w:name="_Toc184314423"/>
      <w:bookmarkEnd w:id="101"/>
      <w:bookmarkStart w:id="102" w:name="_Toc184313250"/>
      <w:bookmarkEnd w:id="102"/>
      <w:bookmarkStart w:id="103" w:name="_Toc184308062"/>
      <w:bookmarkEnd w:id="103"/>
      <w:bookmarkStart w:id="104" w:name="_Toc184310342"/>
      <w:bookmarkEnd w:id="104"/>
      <w:bookmarkStart w:id="105" w:name="_Toc184308061"/>
      <w:bookmarkEnd w:id="105"/>
      <w:bookmarkStart w:id="106" w:name="_Toc184314480"/>
      <w:bookmarkEnd w:id="106"/>
      <w:bookmarkStart w:id="107" w:name="_Toc184313243"/>
      <w:bookmarkEnd w:id="107"/>
      <w:bookmarkStart w:id="108" w:name="_Toc184313280"/>
      <w:bookmarkEnd w:id="108"/>
      <w:bookmarkStart w:id="109" w:name="_Toc184312077"/>
      <w:bookmarkEnd w:id="109"/>
      <w:bookmarkStart w:id="110" w:name="_Toc184313263"/>
      <w:bookmarkEnd w:id="110"/>
      <w:bookmarkStart w:id="111" w:name="_Toc184313301"/>
      <w:bookmarkEnd w:id="111"/>
      <w:bookmarkStart w:id="112" w:name="_Toc184308047"/>
      <w:bookmarkEnd w:id="112"/>
      <w:bookmarkStart w:id="113" w:name="_Toc184310282"/>
      <w:bookmarkEnd w:id="113"/>
      <w:bookmarkStart w:id="114" w:name="_Toc184313287"/>
      <w:bookmarkEnd w:id="114"/>
      <w:bookmarkStart w:id="115" w:name="_Toc184313276"/>
      <w:bookmarkEnd w:id="115"/>
      <w:bookmarkStart w:id="116" w:name="_Toc184313304"/>
      <w:bookmarkEnd w:id="116"/>
      <w:bookmarkStart w:id="117" w:name="_Toc184313306"/>
      <w:bookmarkEnd w:id="117"/>
      <w:bookmarkStart w:id="118" w:name="_Toc184314460"/>
      <w:bookmarkEnd w:id="118"/>
      <w:bookmarkStart w:id="119" w:name="_Toc184312106"/>
      <w:bookmarkEnd w:id="119"/>
      <w:bookmarkStart w:id="120" w:name="_Toc184308097"/>
      <w:bookmarkEnd w:id="120"/>
      <w:bookmarkStart w:id="121" w:name="_Toc184308088"/>
      <w:bookmarkEnd w:id="121"/>
      <w:bookmarkStart w:id="122" w:name="_Toc184310297"/>
      <w:bookmarkEnd w:id="122"/>
      <w:bookmarkStart w:id="123" w:name="_Toc184313270"/>
      <w:bookmarkEnd w:id="123"/>
      <w:bookmarkStart w:id="124" w:name="_Toc184312081"/>
      <w:bookmarkEnd w:id="124"/>
      <w:bookmarkStart w:id="125" w:name="_Toc184312096"/>
      <w:bookmarkEnd w:id="125"/>
      <w:bookmarkStart w:id="126" w:name="_Toc184308073"/>
      <w:bookmarkEnd w:id="126"/>
      <w:bookmarkStart w:id="127" w:name="_Toc184310304"/>
      <w:bookmarkEnd w:id="127"/>
      <w:bookmarkStart w:id="128" w:name="_Toc184314443"/>
      <w:bookmarkEnd w:id="128"/>
      <w:bookmarkStart w:id="129" w:name="_Toc184313271"/>
      <w:bookmarkEnd w:id="129"/>
      <w:bookmarkStart w:id="130" w:name="_Toc184313264"/>
      <w:bookmarkEnd w:id="130"/>
      <w:bookmarkStart w:id="131" w:name="_Toc184314438"/>
      <w:bookmarkEnd w:id="131"/>
      <w:bookmarkStart w:id="132" w:name="_Toc184310274"/>
      <w:bookmarkEnd w:id="132"/>
      <w:bookmarkStart w:id="133" w:name="_Toc184310325"/>
      <w:bookmarkEnd w:id="133"/>
      <w:bookmarkStart w:id="134" w:name="_Toc184310281"/>
      <w:bookmarkEnd w:id="134"/>
      <w:bookmarkStart w:id="135" w:name="_Toc184308066"/>
      <w:bookmarkEnd w:id="135"/>
      <w:bookmarkStart w:id="136" w:name="_Toc184308092"/>
      <w:bookmarkEnd w:id="136"/>
      <w:bookmarkStart w:id="137" w:name="_Toc184313266"/>
      <w:bookmarkEnd w:id="137"/>
      <w:bookmarkStart w:id="138" w:name="_Toc184310291"/>
      <w:bookmarkEnd w:id="138"/>
      <w:bookmarkStart w:id="139" w:name="_Toc184310286"/>
      <w:bookmarkEnd w:id="139"/>
      <w:bookmarkStart w:id="140" w:name="_Toc184312120"/>
      <w:bookmarkEnd w:id="140"/>
      <w:bookmarkStart w:id="141" w:name="_Toc184314464"/>
      <w:bookmarkEnd w:id="141"/>
      <w:bookmarkStart w:id="142" w:name="_Toc184310287"/>
      <w:bookmarkEnd w:id="142"/>
      <w:bookmarkStart w:id="143" w:name="_Toc184310275"/>
      <w:bookmarkEnd w:id="143"/>
      <w:bookmarkStart w:id="144" w:name="_Toc184312097"/>
      <w:bookmarkEnd w:id="144"/>
      <w:bookmarkStart w:id="145" w:name="_Toc184310335"/>
      <w:bookmarkEnd w:id="145"/>
      <w:bookmarkStart w:id="146" w:name="_Toc184308103"/>
      <w:bookmarkEnd w:id="146"/>
      <w:bookmarkStart w:id="147" w:name="_Toc184308052"/>
      <w:bookmarkEnd w:id="147"/>
      <w:bookmarkStart w:id="148" w:name="_Toc184308101"/>
      <w:bookmarkEnd w:id="148"/>
      <w:bookmarkStart w:id="149" w:name="_Toc184310301"/>
      <w:bookmarkEnd w:id="149"/>
      <w:bookmarkStart w:id="150" w:name="_Toc184314448"/>
      <w:bookmarkEnd w:id="150"/>
      <w:bookmarkStart w:id="151" w:name="_Toc184314426"/>
      <w:bookmarkEnd w:id="151"/>
      <w:bookmarkStart w:id="152" w:name="_Toc184310306"/>
      <w:bookmarkEnd w:id="152"/>
      <w:bookmarkStart w:id="153" w:name="_Toc184313254"/>
      <w:bookmarkEnd w:id="153"/>
      <w:bookmarkStart w:id="154" w:name="_Toc184313260"/>
      <w:bookmarkEnd w:id="154"/>
      <w:bookmarkStart w:id="155" w:name="_Toc184312126"/>
      <w:bookmarkEnd w:id="155"/>
      <w:bookmarkStart w:id="156" w:name="_Toc184310341"/>
      <w:bookmarkEnd w:id="156"/>
      <w:bookmarkStart w:id="157" w:name="_Toc184310311"/>
      <w:bookmarkEnd w:id="157"/>
      <w:bookmarkStart w:id="158" w:name="_Toc184314415"/>
      <w:bookmarkEnd w:id="158"/>
      <w:bookmarkStart w:id="159" w:name="_Toc184313259"/>
      <w:bookmarkEnd w:id="159"/>
      <w:bookmarkStart w:id="160" w:name="_Toc184308067"/>
      <w:bookmarkEnd w:id="160"/>
      <w:bookmarkStart w:id="161" w:name="_Toc184313292"/>
      <w:bookmarkEnd w:id="161"/>
      <w:bookmarkStart w:id="162" w:name="_Toc184310298"/>
      <w:bookmarkEnd w:id="162"/>
      <w:bookmarkStart w:id="163" w:name="_Toc184312104"/>
      <w:bookmarkEnd w:id="163"/>
      <w:bookmarkStart w:id="164" w:name="_Toc184312125"/>
      <w:bookmarkEnd w:id="164"/>
      <w:bookmarkStart w:id="165" w:name="_Toc184308089"/>
      <w:bookmarkEnd w:id="165"/>
      <w:bookmarkStart w:id="166" w:name="_Toc184308093"/>
      <w:bookmarkEnd w:id="166"/>
      <w:bookmarkStart w:id="167" w:name="_Toc184312070"/>
      <w:bookmarkEnd w:id="167"/>
      <w:bookmarkStart w:id="168" w:name="_Toc184312132"/>
      <w:bookmarkEnd w:id="168"/>
      <w:bookmarkStart w:id="169" w:name="_Toc184312137"/>
      <w:bookmarkEnd w:id="169"/>
      <w:bookmarkStart w:id="170" w:name="_Toc184314417"/>
      <w:bookmarkEnd w:id="170"/>
      <w:bookmarkStart w:id="171" w:name="_Toc184312110"/>
      <w:bookmarkEnd w:id="171"/>
      <w:bookmarkStart w:id="172" w:name="_Toc184308051"/>
      <w:bookmarkEnd w:id="172"/>
      <w:bookmarkStart w:id="173" w:name="_Toc184312073"/>
      <w:bookmarkEnd w:id="173"/>
      <w:bookmarkStart w:id="174" w:name="_Toc184308096"/>
      <w:bookmarkEnd w:id="174"/>
      <w:bookmarkStart w:id="175" w:name="_Toc184314445"/>
      <w:bookmarkEnd w:id="175"/>
      <w:bookmarkStart w:id="176" w:name="_Toc184312082"/>
      <w:bookmarkEnd w:id="176"/>
      <w:bookmarkStart w:id="177" w:name="_Toc184313295"/>
      <w:bookmarkEnd w:id="177"/>
      <w:bookmarkStart w:id="178" w:name="_Toc184310330"/>
      <w:bookmarkEnd w:id="178"/>
      <w:bookmarkStart w:id="179" w:name="_Toc184314435"/>
      <w:bookmarkEnd w:id="179"/>
      <w:bookmarkStart w:id="180" w:name="_Toc184314424"/>
      <w:bookmarkEnd w:id="180"/>
      <w:bookmarkStart w:id="181" w:name="_Toc184314465"/>
      <w:bookmarkEnd w:id="181"/>
      <w:bookmarkStart w:id="182" w:name="_Toc184308068"/>
      <w:bookmarkEnd w:id="182"/>
      <w:bookmarkStart w:id="183" w:name="_Toc184314478"/>
      <w:bookmarkEnd w:id="183"/>
      <w:bookmarkStart w:id="184" w:name="_Toc184312133"/>
      <w:bookmarkEnd w:id="184"/>
      <w:bookmarkStart w:id="185" w:name="_Toc184314461"/>
      <w:bookmarkEnd w:id="185"/>
      <w:bookmarkStart w:id="186" w:name="_Toc184310309"/>
      <w:bookmarkEnd w:id="186"/>
      <w:bookmarkStart w:id="187" w:name="_Toc184312067"/>
      <w:bookmarkEnd w:id="187"/>
      <w:bookmarkStart w:id="188" w:name="_Toc184313240"/>
      <w:bookmarkEnd w:id="188"/>
      <w:bookmarkStart w:id="189" w:name="_Toc184310326"/>
      <w:bookmarkEnd w:id="189"/>
      <w:bookmarkStart w:id="190" w:name="_Toc184312084"/>
      <w:bookmarkEnd w:id="190"/>
      <w:bookmarkStart w:id="191" w:name="_Toc184313267"/>
      <w:bookmarkEnd w:id="191"/>
      <w:bookmarkStart w:id="192" w:name="_Toc184312102"/>
      <w:bookmarkEnd w:id="192"/>
      <w:bookmarkStart w:id="193" w:name="_Toc184308039"/>
      <w:bookmarkEnd w:id="193"/>
      <w:bookmarkStart w:id="194" w:name="_Toc184313285"/>
      <w:bookmarkEnd w:id="194"/>
      <w:bookmarkStart w:id="195" w:name="_Toc184308055"/>
      <w:bookmarkEnd w:id="195"/>
      <w:bookmarkStart w:id="196" w:name="_Toc184310344"/>
      <w:bookmarkEnd w:id="196"/>
      <w:bookmarkStart w:id="197" w:name="_Toc184308036"/>
      <w:bookmarkEnd w:id="197"/>
      <w:bookmarkStart w:id="198" w:name="_Toc184308107"/>
      <w:bookmarkEnd w:id="198"/>
      <w:bookmarkStart w:id="199" w:name="_Toc184312129"/>
      <w:bookmarkEnd w:id="199"/>
      <w:bookmarkStart w:id="200" w:name="_Toc184314475"/>
      <w:bookmarkEnd w:id="200"/>
      <w:bookmarkStart w:id="201" w:name="_Toc184314471"/>
      <w:bookmarkEnd w:id="201"/>
      <w:bookmarkStart w:id="202" w:name="_Toc184310331"/>
      <w:bookmarkEnd w:id="202"/>
      <w:bookmarkStart w:id="203" w:name="_Toc184314411"/>
      <w:bookmarkEnd w:id="203"/>
      <w:bookmarkStart w:id="204" w:name="_Toc184310293"/>
      <w:bookmarkEnd w:id="204"/>
      <w:bookmarkStart w:id="205" w:name="_Toc184313279"/>
      <w:bookmarkEnd w:id="205"/>
      <w:bookmarkStart w:id="206" w:name="_Toc184310316"/>
      <w:bookmarkEnd w:id="206"/>
      <w:bookmarkStart w:id="207" w:name="_Toc184312119"/>
      <w:bookmarkEnd w:id="207"/>
      <w:bookmarkStart w:id="208" w:name="_Toc184310324"/>
      <w:bookmarkEnd w:id="208"/>
      <w:bookmarkStart w:id="209" w:name="_Toc184312135"/>
      <w:bookmarkEnd w:id="209"/>
      <w:bookmarkStart w:id="210" w:name="_Toc184313257"/>
      <w:bookmarkEnd w:id="210"/>
      <w:bookmarkStart w:id="211" w:name="_Toc184313253"/>
      <w:bookmarkEnd w:id="211"/>
      <w:bookmarkStart w:id="212" w:name="_Toc184308064"/>
      <w:bookmarkEnd w:id="212"/>
      <w:bookmarkStart w:id="213" w:name="_Toc184312083"/>
      <w:bookmarkEnd w:id="213"/>
      <w:bookmarkStart w:id="214" w:name="_Toc184313277"/>
      <w:bookmarkEnd w:id="214"/>
      <w:bookmarkStart w:id="215" w:name="_Toc184314437"/>
      <w:bookmarkEnd w:id="215"/>
      <w:bookmarkStart w:id="216" w:name="_Toc184312139"/>
      <w:bookmarkEnd w:id="216"/>
      <w:bookmarkStart w:id="217" w:name="_Toc184310276"/>
      <w:bookmarkEnd w:id="217"/>
      <w:bookmarkStart w:id="218" w:name="_Toc184308083"/>
      <w:bookmarkEnd w:id="218"/>
      <w:bookmarkStart w:id="219" w:name="_Toc184314421"/>
      <w:bookmarkEnd w:id="219"/>
      <w:bookmarkStart w:id="220" w:name="_Toc184308070"/>
      <w:bookmarkEnd w:id="220"/>
      <w:bookmarkStart w:id="221" w:name="_Toc184313284"/>
      <w:bookmarkEnd w:id="221"/>
      <w:bookmarkStart w:id="222" w:name="_Toc184310273"/>
      <w:bookmarkEnd w:id="222"/>
      <w:bookmarkStart w:id="223" w:name="_Toc184308069"/>
      <w:bookmarkEnd w:id="223"/>
      <w:bookmarkStart w:id="224" w:name="_Toc184313281"/>
      <w:bookmarkEnd w:id="224"/>
      <w:bookmarkStart w:id="225" w:name="_Toc184308042"/>
      <w:bookmarkEnd w:id="225"/>
      <w:bookmarkStart w:id="226" w:name="_Toc184310337"/>
      <w:bookmarkEnd w:id="226"/>
      <w:bookmarkStart w:id="227" w:name="_Toc184308102"/>
      <w:bookmarkEnd w:id="227"/>
      <w:bookmarkStart w:id="228" w:name="_Toc184314470"/>
      <w:bookmarkEnd w:id="228"/>
      <w:bookmarkStart w:id="229" w:name="_Toc184314463"/>
      <w:bookmarkEnd w:id="229"/>
      <w:bookmarkStart w:id="230" w:name="_Toc184314469"/>
      <w:bookmarkEnd w:id="230"/>
      <w:bookmarkStart w:id="231" w:name="_Toc184314433"/>
      <w:bookmarkEnd w:id="231"/>
      <w:bookmarkStart w:id="232" w:name="_Toc184310279"/>
      <w:bookmarkEnd w:id="232"/>
      <w:bookmarkStart w:id="233" w:name="_Toc184308065"/>
      <w:bookmarkEnd w:id="233"/>
      <w:bookmarkStart w:id="234" w:name="_Toc184313241"/>
      <w:bookmarkEnd w:id="234"/>
      <w:bookmarkStart w:id="235" w:name="_Toc184314439"/>
      <w:bookmarkEnd w:id="235"/>
      <w:bookmarkStart w:id="236" w:name="_Toc184308057"/>
      <w:bookmarkEnd w:id="236"/>
      <w:bookmarkStart w:id="237" w:name="_Toc184308098"/>
      <w:bookmarkEnd w:id="237"/>
      <w:bookmarkStart w:id="238" w:name="_Toc184312090"/>
      <w:bookmarkEnd w:id="238"/>
      <w:bookmarkStart w:id="239" w:name="_Toc184308078"/>
      <w:bookmarkEnd w:id="239"/>
      <w:bookmarkStart w:id="240" w:name="_Toc184313247"/>
      <w:bookmarkEnd w:id="240"/>
      <w:bookmarkStart w:id="241" w:name="_Toc184310336"/>
      <w:bookmarkEnd w:id="241"/>
      <w:bookmarkStart w:id="242" w:name="_Toc184308059"/>
      <w:bookmarkEnd w:id="242"/>
      <w:bookmarkStart w:id="243" w:name="_Toc184313262"/>
      <w:bookmarkEnd w:id="243"/>
      <w:bookmarkStart w:id="244" w:name="_Toc184308084"/>
      <w:bookmarkEnd w:id="244"/>
      <w:bookmarkStart w:id="245" w:name="_Toc184312087"/>
      <w:bookmarkEnd w:id="245"/>
      <w:bookmarkStart w:id="246" w:name="_Toc184314462"/>
      <w:bookmarkEnd w:id="246"/>
      <w:bookmarkStart w:id="247" w:name="_Toc184310320"/>
      <w:bookmarkEnd w:id="247"/>
      <w:bookmarkStart w:id="248" w:name="_Toc184312109"/>
      <w:bookmarkEnd w:id="248"/>
      <w:bookmarkStart w:id="249" w:name="_Toc184310302"/>
      <w:bookmarkEnd w:id="249"/>
      <w:bookmarkStart w:id="250" w:name="_Toc184314453"/>
      <w:bookmarkEnd w:id="250"/>
      <w:bookmarkStart w:id="251" w:name="_Toc184310323"/>
      <w:bookmarkEnd w:id="251"/>
      <w:bookmarkStart w:id="252" w:name="_Toc184314473"/>
      <w:bookmarkEnd w:id="252"/>
      <w:bookmarkStart w:id="253" w:name="_Toc184308040"/>
      <w:bookmarkEnd w:id="253"/>
      <w:bookmarkStart w:id="254" w:name="_Toc184314456"/>
      <w:bookmarkEnd w:id="254"/>
      <w:bookmarkStart w:id="255" w:name="_Toc184310303"/>
      <w:bookmarkEnd w:id="255"/>
      <w:bookmarkStart w:id="256" w:name="_Toc184314459"/>
      <w:bookmarkEnd w:id="256"/>
      <w:bookmarkStart w:id="257" w:name="_Toc184308074"/>
      <w:bookmarkEnd w:id="257"/>
      <w:bookmarkStart w:id="258" w:name="_Toc184312130"/>
      <w:bookmarkEnd w:id="258"/>
      <w:bookmarkStart w:id="259" w:name="_Toc184312114"/>
      <w:bookmarkEnd w:id="259"/>
      <w:bookmarkStart w:id="260" w:name="_Toc184310328"/>
      <w:bookmarkEnd w:id="260"/>
      <w:bookmarkStart w:id="261" w:name="_Toc184312134"/>
      <w:bookmarkEnd w:id="261"/>
      <w:bookmarkStart w:id="262" w:name="_Toc184314412"/>
      <w:bookmarkEnd w:id="262"/>
      <w:bookmarkStart w:id="263" w:name="_Toc184314454"/>
      <w:bookmarkEnd w:id="263"/>
      <w:bookmarkStart w:id="264" w:name="_Toc184310343"/>
      <w:bookmarkEnd w:id="264"/>
      <w:bookmarkStart w:id="265" w:name="_Toc184314482"/>
      <w:bookmarkEnd w:id="265"/>
      <w:bookmarkStart w:id="266" w:name="_Toc184314451"/>
      <w:bookmarkEnd w:id="266"/>
      <w:bookmarkStart w:id="267" w:name="_Toc184314432"/>
      <w:bookmarkEnd w:id="267"/>
      <w:bookmarkStart w:id="268" w:name="_Toc184313307"/>
      <w:bookmarkEnd w:id="268"/>
      <w:bookmarkStart w:id="269" w:name="_Toc184314476"/>
      <w:bookmarkEnd w:id="269"/>
      <w:bookmarkStart w:id="270" w:name="_Toc184310312"/>
      <w:bookmarkEnd w:id="270"/>
      <w:bookmarkStart w:id="271" w:name="_Toc184313273"/>
      <w:bookmarkEnd w:id="271"/>
      <w:bookmarkStart w:id="272" w:name="_Toc184310295"/>
      <w:bookmarkEnd w:id="272"/>
      <w:bookmarkStart w:id="273" w:name="_Toc184308099"/>
      <w:bookmarkEnd w:id="273"/>
      <w:bookmarkStart w:id="274" w:name="_Toc184310315"/>
      <w:bookmarkEnd w:id="274"/>
      <w:bookmarkStart w:id="275" w:name="_Toc184314414"/>
      <w:bookmarkEnd w:id="275"/>
      <w:bookmarkStart w:id="276" w:name="_Toc184313288"/>
      <w:bookmarkEnd w:id="276"/>
      <w:bookmarkStart w:id="277" w:name="_Toc184310294"/>
      <w:bookmarkEnd w:id="277"/>
      <w:bookmarkStart w:id="278" w:name="_Toc184312091"/>
      <w:bookmarkEnd w:id="278"/>
      <w:bookmarkStart w:id="279" w:name="_Toc184313298"/>
      <w:bookmarkEnd w:id="279"/>
      <w:bookmarkStart w:id="280" w:name="_Toc184314422"/>
      <w:bookmarkEnd w:id="280"/>
      <w:bookmarkStart w:id="281" w:name="_Toc184313305"/>
      <w:bookmarkEnd w:id="281"/>
      <w:bookmarkStart w:id="282" w:name="_Toc184312068"/>
      <w:bookmarkEnd w:id="282"/>
      <w:bookmarkStart w:id="283" w:name="_Toc184308108"/>
      <w:bookmarkEnd w:id="283"/>
      <w:bookmarkStart w:id="284" w:name="_Toc184312112"/>
      <w:bookmarkEnd w:id="284"/>
      <w:bookmarkStart w:id="285" w:name="_Toc184314472"/>
      <w:bookmarkEnd w:id="285"/>
      <w:bookmarkStart w:id="286" w:name="_Toc184314427"/>
      <w:bookmarkEnd w:id="286"/>
      <w:bookmarkStart w:id="287" w:name="_Toc184308048"/>
      <w:bookmarkEnd w:id="287"/>
      <w:bookmarkStart w:id="288" w:name="_Toc184312115"/>
      <w:bookmarkEnd w:id="288"/>
      <w:bookmarkStart w:id="289" w:name="_Toc184314419"/>
      <w:bookmarkEnd w:id="289"/>
      <w:bookmarkStart w:id="290" w:name="_Toc184314457"/>
      <w:bookmarkEnd w:id="290"/>
      <w:bookmarkStart w:id="291" w:name="_Toc184310272"/>
      <w:bookmarkEnd w:id="291"/>
      <w:bookmarkStart w:id="292" w:name="_Toc184314429"/>
      <w:bookmarkEnd w:id="292"/>
      <w:bookmarkStart w:id="293" w:name="_Toc184313275"/>
      <w:bookmarkEnd w:id="293"/>
      <w:bookmarkStart w:id="294" w:name="_Toc184313278"/>
      <w:bookmarkEnd w:id="294"/>
      <w:bookmarkStart w:id="295" w:name="_Toc184312124"/>
      <w:bookmarkEnd w:id="295"/>
      <w:bookmarkStart w:id="296" w:name="_Toc184308106"/>
      <w:bookmarkEnd w:id="296"/>
      <w:bookmarkStart w:id="297" w:name="_Toc184310277"/>
      <w:bookmarkEnd w:id="297"/>
      <w:bookmarkStart w:id="298" w:name="_Toc184313290"/>
      <w:bookmarkEnd w:id="298"/>
      <w:bookmarkStart w:id="299" w:name="_Toc184314413"/>
      <w:bookmarkEnd w:id="299"/>
      <w:bookmarkStart w:id="300" w:name="_Toc184308076"/>
      <w:bookmarkEnd w:id="300"/>
      <w:bookmarkStart w:id="301" w:name="_Toc184313303"/>
      <w:bookmarkEnd w:id="301"/>
      <w:bookmarkStart w:id="302" w:name="_Toc184314474"/>
      <w:bookmarkEnd w:id="302"/>
      <w:bookmarkStart w:id="303" w:name="_Toc184310340"/>
      <w:bookmarkEnd w:id="303"/>
      <w:bookmarkStart w:id="304" w:name="_Toc184310310"/>
      <w:bookmarkEnd w:id="304"/>
      <w:bookmarkStart w:id="305" w:name="_Toc184308091"/>
      <w:bookmarkEnd w:id="305"/>
      <w:bookmarkStart w:id="306" w:name="_Toc184314481"/>
      <w:bookmarkEnd w:id="306"/>
      <w:bookmarkStart w:id="307" w:name="_Toc184313309"/>
      <w:bookmarkEnd w:id="307"/>
      <w:bookmarkStart w:id="308" w:name="_Toc184314418"/>
      <w:bookmarkEnd w:id="308"/>
      <w:bookmarkStart w:id="309" w:name="_Toc184314434"/>
      <w:bookmarkEnd w:id="309"/>
      <w:bookmarkStart w:id="310" w:name="_Toc184312086"/>
      <w:bookmarkEnd w:id="310"/>
      <w:bookmarkStart w:id="311" w:name="_Toc184308046"/>
      <w:bookmarkEnd w:id="311"/>
      <w:bookmarkStart w:id="312" w:name="_Toc184308044"/>
      <w:bookmarkEnd w:id="312"/>
      <w:bookmarkStart w:id="313" w:name="_Toc184310280"/>
      <w:bookmarkEnd w:id="313"/>
      <w:bookmarkStart w:id="314" w:name="_Toc184310307"/>
      <w:bookmarkEnd w:id="314"/>
      <w:bookmarkStart w:id="315" w:name="_Toc184308079"/>
      <w:bookmarkEnd w:id="315"/>
      <w:bookmarkStart w:id="316" w:name="_Toc184313299"/>
      <w:bookmarkEnd w:id="316"/>
      <w:bookmarkStart w:id="317" w:name="_Toc184313283"/>
      <w:bookmarkEnd w:id="317"/>
      <w:bookmarkStart w:id="318" w:name="_Toc184313256"/>
      <w:bookmarkEnd w:id="318"/>
      <w:bookmarkStart w:id="319" w:name="_Toc184310278"/>
      <w:bookmarkEnd w:id="319"/>
      <w:bookmarkStart w:id="320" w:name="_Toc184314410"/>
      <w:bookmarkEnd w:id="320"/>
      <w:bookmarkStart w:id="321" w:name="_Toc184308100"/>
      <w:bookmarkEnd w:id="321"/>
      <w:bookmarkStart w:id="322" w:name="_Toc184308090"/>
      <w:bookmarkEnd w:id="322"/>
      <w:bookmarkStart w:id="323" w:name="_Toc184313245"/>
      <w:bookmarkEnd w:id="323"/>
      <w:bookmarkStart w:id="324" w:name="_Toc184312118"/>
      <w:bookmarkEnd w:id="324"/>
      <w:bookmarkStart w:id="325" w:name="_Toc184313291"/>
      <w:bookmarkEnd w:id="325"/>
      <w:bookmarkStart w:id="326" w:name="_Toc184308037"/>
      <w:bookmarkEnd w:id="326"/>
      <w:bookmarkStart w:id="327" w:name="_Toc184312094"/>
      <w:bookmarkEnd w:id="327"/>
      <w:bookmarkStart w:id="328" w:name="_Toc184312098"/>
      <w:bookmarkEnd w:id="328"/>
      <w:bookmarkStart w:id="329" w:name="_Toc184313238"/>
      <w:bookmarkEnd w:id="329"/>
      <w:bookmarkStart w:id="330" w:name="_Toc184310296"/>
      <w:bookmarkEnd w:id="330"/>
      <w:bookmarkStart w:id="331" w:name="_Toc184312121"/>
      <w:bookmarkEnd w:id="331"/>
      <w:bookmarkStart w:id="332" w:name="_Toc184314440"/>
      <w:bookmarkEnd w:id="332"/>
      <w:bookmarkStart w:id="333" w:name="_Toc184310313"/>
      <w:bookmarkEnd w:id="333"/>
      <w:bookmarkStart w:id="334" w:name="_Toc184310288"/>
      <w:bookmarkEnd w:id="334"/>
      <w:bookmarkStart w:id="335" w:name="_Toc184308077"/>
      <w:bookmarkEnd w:id="335"/>
      <w:bookmarkStart w:id="336" w:name="_Toc184312089"/>
      <w:bookmarkEnd w:id="336"/>
      <w:bookmarkStart w:id="337" w:name="_Toc184308094"/>
      <w:bookmarkEnd w:id="337"/>
      <w:bookmarkStart w:id="338" w:name="_Toc184312113"/>
      <w:bookmarkEnd w:id="338"/>
      <w:bookmarkStart w:id="339" w:name="_Toc184310289"/>
      <w:bookmarkEnd w:id="339"/>
      <w:bookmarkStart w:id="340" w:name="_Toc184310319"/>
      <w:bookmarkEnd w:id="340"/>
      <w:bookmarkStart w:id="341" w:name="_Toc184312127"/>
      <w:bookmarkEnd w:id="341"/>
      <w:bookmarkStart w:id="342" w:name="_Toc184308105"/>
      <w:bookmarkEnd w:id="342"/>
      <w:bookmarkStart w:id="343" w:name="_Toc184312108"/>
      <w:bookmarkEnd w:id="343"/>
      <w:bookmarkStart w:id="344" w:name="_Toc184310318"/>
      <w:bookmarkEnd w:id="344"/>
      <w:bookmarkStart w:id="345" w:name="_Toc184312080"/>
      <w:bookmarkEnd w:id="345"/>
      <w:bookmarkStart w:id="346" w:name="_Toc184308104"/>
      <w:bookmarkEnd w:id="346"/>
      <w:bookmarkStart w:id="347" w:name="_Toc184308060"/>
      <w:bookmarkEnd w:id="347"/>
      <w:bookmarkStart w:id="348" w:name="_Toc184308063"/>
      <w:bookmarkEnd w:id="348"/>
      <w:bookmarkStart w:id="349" w:name="_Toc184314425"/>
      <w:bookmarkEnd w:id="349"/>
      <w:bookmarkStart w:id="350" w:name="_Toc184313302"/>
      <w:bookmarkEnd w:id="350"/>
      <w:bookmarkStart w:id="351" w:name="_Toc184310292"/>
      <w:bookmarkEnd w:id="351"/>
      <w:bookmarkStart w:id="352" w:name="_Toc184314479"/>
      <w:bookmarkEnd w:id="352"/>
      <w:bookmarkStart w:id="353" w:name="_Toc184314444"/>
      <w:bookmarkEnd w:id="353"/>
      <w:bookmarkStart w:id="354" w:name="_Toc184312099"/>
      <w:bookmarkEnd w:id="354"/>
      <w:bookmarkStart w:id="355" w:name="_Toc184312116"/>
      <w:bookmarkEnd w:id="355"/>
      <w:bookmarkStart w:id="356" w:name="_Toc184312136"/>
      <w:bookmarkEnd w:id="356"/>
      <w:bookmarkStart w:id="357" w:name="_Toc184308080"/>
      <w:bookmarkEnd w:id="357"/>
      <w:bookmarkStart w:id="358" w:name="_Toc184308071"/>
      <w:bookmarkEnd w:id="358"/>
      <w:bookmarkStart w:id="359" w:name="_Toc184308043"/>
      <w:bookmarkEnd w:id="359"/>
      <w:bookmarkStart w:id="360" w:name="_Toc184314455"/>
      <w:bookmarkEnd w:id="360"/>
      <w:bookmarkStart w:id="361" w:name="_Toc184308075"/>
      <w:bookmarkEnd w:id="361"/>
      <w:bookmarkStart w:id="362" w:name="_Toc184312085"/>
      <w:bookmarkEnd w:id="362"/>
      <w:bookmarkStart w:id="363" w:name="_Toc184312092"/>
      <w:bookmarkEnd w:id="363"/>
      <w:bookmarkStart w:id="364" w:name="_Toc184310327"/>
      <w:bookmarkEnd w:id="364"/>
      <w:bookmarkStart w:id="365" w:name="_Toc184310284"/>
      <w:bookmarkEnd w:id="365"/>
      <w:bookmarkStart w:id="366" w:name="_Toc184312101"/>
      <w:bookmarkEnd w:id="366"/>
      <w:bookmarkStart w:id="367" w:name="_Toc184314447"/>
      <w:bookmarkEnd w:id="367"/>
      <w:bookmarkStart w:id="368" w:name="_Toc184313274"/>
      <w:bookmarkEnd w:id="368"/>
      <w:bookmarkStart w:id="369" w:name="_Toc184312095"/>
      <w:bookmarkEnd w:id="369"/>
      <w:bookmarkStart w:id="370" w:name="_Toc184310317"/>
      <w:bookmarkEnd w:id="370"/>
      <w:bookmarkStart w:id="371" w:name="_Toc184313265"/>
      <w:bookmarkEnd w:id="371"/>
      <w:bookmarkStart w:id="372" w:name="_Toc184310332"/>
      <w:bookmarkEnd w:id="372"/>
      <w:bookmarkStart w:id="373" w:name="_Toc184312105"/>
      <w:bookmarkEnd w:id="373"/>
      <w:bookmarkStart w:id="374" w:name="_Toc184312123"/>
      <w:bookmarkEnd w:id="374"/>
      <w:bookmarkStart w:id="375" w:name="_Toc184312071"/>
      <w:bookmarkEnd w:id="375"/>
      <w:bookmarkStart w:id="376" w:name="_Toc184310314"/>
      <w:bookmarkEnd w:id="376"/>
      <w:bookmarkStart w:id="377" w:name="_Toc184312078"/>
      <w:bookmarkEnd w:id="377"/>
      <w:bookmarkStart w:id="378" w:name="_Toc184313258"/>
      <w:bookmarkEnd w:id="378"/>
      <w:bookmarkStart w:id="379" w:name="_Toc184313242"/>
      <w:bookmarkEnd w:id="379"/>
      <w:bookmarkStart w:id="380" w:name="_Toc184312100"/>
      <w:bookmarkEnd w:id="380"/>
      <w:bookmarkStart w:id="381" w:name="_Toc184312074"/>
      <w:bookmarkEnd w:id="381"/>
      <w:bookmarkStart w:id="382" w:name="_Toc184314446"/>
      <w:bookmarkEnd w:id="382"/>
      <w:bookmarkStart w:id="383" w:name="_Toc184313286"/>
      <w:bookmarkEnd w:id="383"/>
      <w:r>
        <w:rPr>
          <w:rFonts w:hint="eastAsia" w:cs="仿宋" w:asciiTheme="minorEastAsia" w:hAnsiTheme="minorEastAsia"/>
          <w:b/>
          <w:sz w:val="36"/>
          <w:szCs w:val="36"/>
        </w:rPr>
        <w:t>评审方法</w:t>
      </w:r>
    </w:p>
    <w:p>
      <w:pPr>
        <w:adjustRightInd w:val="0"/>
        <w:snapToGrid w:val="0"/>
        <w:spacing w:line="460" w:lineRule="exact"/>
        <w:ind w:firstLine="480" w:firstLineChars="200"/>
        <w:rPr>
          <w:rFonts w:cs="仿宋" w:asciiTheme="minorEastAsia" w:hAnsiTheme="minorEastAsia"/>
          <w:sz w:val="24"/>
        </w:rPr>
      </w:pP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pP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pPr>
        <w:pStyle w:val="7"/>
        <w:spacing w:line="360" w:lineRule="auto"/>
        <w:ind w:left="954" w:leftChars="226" w:hanging="479" w:firstLineChars="0"/>
        <w:rPr>
          <w:rFonts w:cs="宋体"/>
          <w:b/>
          <w:bCs/>
          <w:szCs w:val="21"/>
        </w:rPr>
      </w:pPr>
      <w:r>
        <w:rPr>
          <w:rFonts w:hint="eastAsia" w:cs="宋体"/>
          <w:b/>
          <w:bCs/>
          <w:szCs w:val="21"/>
        </w:rPr>
        <w:t>有下列情形之一的，响应无效：</w:t>
      </w:r>
    </w:p>
    <w:p>
      <w:pP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pP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pP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pP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r>
        <w:rPr>
          <w:rFonts w:hint="eastAsia" w:ascii="宋体" w:hAnsi="宋体" w:cs="宋体"/>
          <w:kern w:val="0"/>
          <w:sz w:val="24"/>
          <w:lang w:eastAsia="zh-CN"/>
        </w:rPr>
        <w:t>；</w:t>
      </w:r>
    </w:p>
    <w:p>
      <w:pP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r>
        <w:rPr>
          <w:rFonts w:hint="eastAsia" w:ascii="宋体" w:hAnsi="宋体" w:cs="宋体"/>
          <w:kern w:val="0"/>
          <w:sz w:val="24"/>
          <w:lang w:eastAsia="zh-CN"/>
        </w:rPr>
        <w:t>；</w:t>
      </w:r>
    </w:p>
    <w:p>
      <w:pP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pP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pP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pP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pP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p>
    <w:p>
      <w:pP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pP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eastAsia="zh-CN"/>
        </w:rPr>
        <w:t>.</w:t>
      </w:r>
      <w:r>
        <w:rPr>
          <w:rFonts w:hint="eastAsia" w:ascii="宋体" w:hAnsi="宋体" w:cs="宋体"/>
          <w:kern w:val="0"/>
          <w:sz w:val="24"/>
        </w:rPr>
        <w:t>在采购人规定的截止时间以后送达的响应文件；</w:t>
      </w:r>
    </w:p>
    <w:p>
      <w:pPr>
        <w:spacing w:line="360" w:lineRule="auto"/>
        <w:ind w:firstLine="480" w:firstLineChars="200"/>
        <w:rPr>
          <w:rFonts w:hint="eastAsia" w:ascii="宋体" w:hAnsi="宋体" w:cs="宋体" w:eastAsiaTheme="minorEastAsia"/>
          <w:kern w:val="0"/>
          <w:sz w:val="24"/>
          <w:lang w:eastAsia="zh-CN"/>
        </w:rPr>
      </w:pPr>
      <w:r>
        <w:rPr>
          <w:rFonts w:hint="eastAsia" w:ascii="宋体" w:hAnsi="宋体" w:cs="宋体"/>
          <w:kern w:val="0"/>
          <w:sz w:val="24"/>
        </w:rPr>
        <w:t>M</w:t>
      </w:r>
      <w:r>
        <w:rPr>
          <w:rFonts w:hint="eastAsia" w:ascii="宋体" w:hAnsi="宋体" w:cs="宋体"/>
          <w:kern w:val="0"/>
          <w:sz w:val="24"/>
          <w:lang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b/>
          <w:bCs/>
          <w:kern w:val="0"/>
          <w:sz w:val="24"/>
        </w:rPr>
        <w:t>（若有）</w:t>
      </w:r>
      <w:r>
        <w:rPr>
          <w:rFonts w:hint="eastAsia" w:ascii="宋体" w:hAnsi="宋体" w:cs="宋体"/>
          <w:kern w:val="0"/>
          <w:sz w:val="24"/>
          <w:lang w:eastAsia="zh-CN"/>
        </w:rPr>
        <w:t>；</w:t>
      </w:r>
    </w:p>
    <w:p>
      <w:pPr>
        <w:spacing w:line="360" w:lineRule="auto"/>
        <w:ind w:firstLine="480" w:firstLineChars="200"/>
        <w:rPr>
          <w:rFonts w:hint="eastAsia" w:eastAsiaTheme="minorEastAsia"/>
          <w:lang w:eastAsia="zh-CN"/>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b/>
          <w:bCs/>
          <w:kern w:val="0"/>
          <w:sz w:val="24"/>
        </w:rPr>
        <w:t>（若有）</w:t>
      </w:r>
      <w:r>
        <w:rPr>
          <w:rFonts w:hint="eastAsia" w:ascii="宋体" w:hAnsi="宋体" w:cs="宋体"/>
          <w:kern w:val="0"/>
          <w:sz w:val="24"/>
          <w:lang w:eastAsia="zh-CN"/>
        </w:rPr>
        <w:t>；</w:t>
      </w:r>
    </w:p>
    <w:p>
      <w:pPr>
        <w:adjustRightInd w:val="0"/>
        <w:snapToGrid w:val="0"/>
        <w:spacing w:line="460" w:lineRule="exact"/>
        <w:ind w:firstLine="480" w:firstLineChars="200"/>
        <w:rPr>
          <w:rFonts w:hint="default" w:cs="仿宋" w:asciiTheme="minorEastAsia" w:hAnsiTheme="minorEastAsia" w:eastAsiaTheme="minorEastAsia"/>
          <w:snapToGrid w:val="0"/>
          <w:kern w:val="0"/>
          <w:sz w:val="24"/>
          <w:lang w:val="en-US" w:eastAsia="zh-CN"/>
        </w:rPr>
      </w:pPr>
      <w:r>
        <w:rPr>
          <w:rFonts w:hint="eastAsia" w:cs="仿宋" w:asciiTheme="minorEastAsia" w:hAnsiTheme="minorEastAsia"/>
          <w:snapToGrid w:val="0"/>
          <w:kern w:val="0"/>
          <w:sz w:val="24"/>
          <w:lang w:val="en-US" w:eastAsia="zh-CN"/>
        </w:rPr>
        <w:t>O.报价清单中出现漏项或单价为0的。</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pPr>
        <w:pStyle w:val="6"/>
        <w:ind w:firstLine="480" w:firstLineChars="200"/>
      </w:pPr>
      <w:r>
        <w:rPr>
          <w:lang w:val="en-US"/>
        </w:rPr>
        <w:t>1.1</w:t>
      </w:r>
      <w:r>
        <w:rPr>
          <w:rFonts w:hint="eastAsia"/>
        </w:rPr>
        <w:t>若出现税率不一致的情况，以除税总金额相对比。</w:t>
      </w:r>
    </w:p>
    <w:p>
      <w:pPr>
        <w:widowControl/>
        <w:snapToGrid w:val="0"/>
        <w:spacing w:line="460" w:lineRule="exact"/>
        <w:ind w:firstLine="480" w:firstLineChars="200"/>
      </w:pPr>
      <w:r>
        <w:rPr>
          <w:rFonts w:hint="eastAsia" w:cs="仿宋" w:asciiTheme="minorEastAsia" w:hAnsiTheme="minorEastAsia"/>
          <w:color w:val="auto"/>
          <w:sz w:val="24"/>
          <w:lang w:val="en-US"/>
        </w:rPr>
        <w:t>1.2.若出现相同总金额最低报价情况时，则由评审小组按少数服从多数的原则通过投票表决决定。</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pPr>
        <w:widowControl/>
        <w:snapToGrid w:val="0"/>
        <w:spacing w:line="460" w:lineRule="exact"/>
        <w:ind w:firstLine="480" w:firstLineChars="200"/>
      </w:pPr>
      <w:r>
        <w:rPr>
          <w:rFonts w:hint="eastAsia" w:cs="仿宋" w:asciiTheme="minorEastAsia" w:hAnsiTheme="minorEastAsia"/>
          <w:sz w:val="24"/>
        </w:rPr>
        <w:t>3.3在采购过程中符合竞争要求的供应商或者报价未超过采购限价的供应商不足3家的。</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4.不再询价</w:t>
      </w:r>
    </w:p>
    <w:p>
      <w:pPr>
        <w:widowControl/>
        <w:snapToGrid w:val="0"/>
        <w:spacing w:line="460" w:lineRule="exact"/>
        <w:ind w:firstLine="480" w:firstLineChars="200"/>
        <w:rPr>
          <w:rFonts w:hint="eastAsia" w:eastAsiaTheme="minorEastAsia"/>
          <w:highlight w:val="none"/>
          <w:lang w:val="en-US" w:eastAsia="zh-CN"/>
        </w:rPr>
      </w:pPr>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谈判，询价采购文件即为谈判文件，询价评审小组成员即为询价谈判小组成员，询价保证金转为谈判保证金（若有）</w:t>
      </w:r>
      <w:r>
        <w:rPr>
          <w:rFonts w:hint="eastAsia" w:cs="仿宋" w:asciiTheme="minorEastAsia" w:hAnsiTheme="minorEastAsia"/>
          <w:sz w:val="24"/>
          <w:highlight w:val="none"/>
          <w:lang w:eastAsia="zh-CN"/>
        </w:rPr>
        <w:t>。</w:t>
      </w:r>
    </w:p>
    <w:p>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p>
      <w:pPr>
        <w:widowControl/>
        <w:snapToGrid w:val="0"/>
        <w:spacing w:line="460" w:lineRule="exact"/>
        <w:ind w:firstLine="480" w:firstLineChars="200"/>
        <w:rPr>
          <w:rFonts w:cs="仿宋" w:asciiTheme="minorEastAsia" w:hAnsiTheme="minorEastAsia"/>
          <w:kern w:val="0"/>
          <w:sz w:val="24"/>
          <w:highlight w:val="none"/>
        </w:rPr>
        <w:sectPr>
          <w:pgSz w:w="11906" w:h="16838"/>
          <w:pgMar w:top="1247" w:right="1418" w:bottom="1247" w:left="1588" w:header="851" w:footer="992" w:gutter="0"/>
          <w:pgBorders>
            <w:top w:val="none" w:sz="0" w:space="0"/>
            <w:left w:val="none" w:sz="0" w:space="0"/>
            <w:bottom w:val="none" w:sz="0" w:space="0"/>
            <w:right w:val="none" w:sz="0" w:space="0"/>
          </w:pgBorders>
          <w:cols w:space="720" w:num="1"/>
          <w:docGrid w:type="lines" w:linePitch="312" w:charSpace="0"/>
        </w:sectPr>
      </w:pPr>
    </w:p>
    <w:p>
      <w:pPr>
        <w:numPr>
          <w:ilvl w:val="0"/>
          <w:numId w:val="2"/>
        </w:numP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pPr>
        <w:rPr>
          <w:rFonts w:ascii="宋体" w:hAnsi="宋体" w:cs="宋体"/>
          <w:sz w:val="24"/>
        </w:rPr>
      </w:pPr>
    </w:p>
    <w:p>
      <w:pP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pPr>
        <w:spacing w:line="480" w:lineRule="auto"/>
        <w:rPr>
          <w:rFonts w:ascii="宋体" w:hAnsi="宋体" w:cs="宋体"/>
          <w:b/>
          <w:sz w:val="24"/>
        </w:rPr>
      </w:pPr>
    </w:p>
    <w:p>
      <w:pPr>
        <w:pStyle w:val="3"/>
        <w:rPr>
          <w:rFonts w:ascii="宋体" w:hAnsi="宋体" w:cs="宋体"/>
          <w:sz w:val="24"/>
        </w:rPr>
      </w:pPr>
    </w:p>
    <w:p/>
    <w:p>
      <w:pPr>
        <w:spacing w:line="480" w:lineRule="auto"/>
        <w:jc w:val="center"/>
        <w:rPr>
          <w:rFonts w:ascii="宋体" w:hAnsi="宋体" w:cs="宋体"/>
          <w:b/>
          <w:sz w:val="36"/>
          <w:szCs w:val="36"/>
        </w:rPr>
      </w:pPr>
      <w:r>
        <w:rPr>
          <w:rFonts w:hint="eastAsia" w:ascii="宋体" w:hAnsi="宋体" w:cs="宋体"/>
          <w:b/>
          <w:sz w:val="36"/>
          <w:szCs w:val="36"/>
        </w:rPr>
        <w:t>货物类采购合同</w:t>
      </w:r>
    </w:p>
    <w:p>
      <w:pPr>
        <w:pStyle w:val="23"/>
        <w:rPr>
          <w:rFonts w:ascii="宋体" w:hAnsi="宋体" w:cs="宋体"/>
          <w:szCs w:val="24"/>
        </w:rPr>
      </w:pPr>
    </w:p>
    <w:p>
      <w:pPr>
        <w:spacing w:before="120" w:line="22" w:lineRule="atLeast"/>
        <w:ind w:left="960"/>
        <w:rPr>
          <w:rFonts w:hint="default" w:ascii="宋体" w:hAnsi="宋体" w:cs="宋体"/>
          <w:sz w:val="24"/>
          <w:u w:val="single"/>
          <w:lang w:val="en-US" w:eastAsia="zh-CN"/>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u w:val="single"/>
          <w:lang w:eastAsia="zh-CN"/>
        </w:rPr>
        <w:t>2024年临江公司碱液脱酸系统备件采购</w:t>
      </w:r>
      <w:r>
        <w:rPr>
          <w:rFonts w:hint="eastAsia" w:ascii="宋体" w:hAnsi="宋体" w:cs="宋体"/>
          <w:sz w:val="24"/>
          <w:u w:val="single"/>
          <w:lang w:val="en-US" w:eastAsia="zh-CN"/>
        </w:rPr>
        <w:t xml:space="preserve">项目 </w:t>
      </w:r>
    </w:p>
    <w:p>
      <w:pPr>
        <w:spacing w:before="120" w:line="22" w:lineRule="atLeast"/>
        <w:ind w:left="960"/>
        <w:rPr>
          <w:rFonts w:hint="eastAsia" w:ascii="宋体" w:hAnsi="宋体" w:cs="宋体"/>
          <w:sz w:val="24"/>
          <w:u w:val="single"/>
          <w:lang w:eastAsia="zh-CN"/>
        </w:rPr>
      </w:pPr>
    </w:p>
    <w:p>
      <w:pP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杭州临江环境能源有限公司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浙江省杭州市钱塘区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u w:val="single"/>
          <w:lang w:val="en-US" w:eastAsia="zh-CN"/>
        </w:rPr>
        <w:t xml:space="preserve">2024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pPr>
    </w:p>
    <w:p>
      <w:pPr>
        <w:pStyle w:val="14"/>
      </w:pPr>
    </w:p>
    <w:p/>
    <w:p>
      <w:pPr>
        <w:pStyle w:val="6"/>
      </w:pPr>
    </w:p>
    <w:p>
      <w:pPr>
        <w:pStyle w:val="14"/>
      </w:pPr>
    </w:p>
    <w:p/>
    <w:p>
      <w:pPr>
        <w:pStyle w:val="6"/>
      </w:pPr>
    </w:p>
    <w:p>
      <w:pPr>
        <w:pStyle w:val="14"/>
      </w:pPr>
    </w:p>
    <w:p/>
    <w:p>
      <w:pPr>
        <w:pStyle w:val="6"/>
      </w:pPr>
    </w:p>
    <w:p>
      <w:pPr>
        <w:pStyle w:val="14"/>
      </w:pPr>
    </w:p>
    <w:p/>
    <w:p>
      <w:pPr>
        <w:pStyle w:val="6"/>
      </w:pPr>
    </w:p>
    <w:p>
      <w:pPr>
        <w:pStyle w:val="14"/>
      </w:pPr>
    </w:p>
    <w:p/>
    <w:p>
      <w:pPr>
        <w:pStyle w:val="6"/>
      </w:pPr>
    </w:p>
    <w:p>
      <w:pPr>
        <w:pStyle w:val="23"/>
        <w:ind w:left="0" w:leftChars="0" w:firstLine="0" w:firstLineChars="0"/>
        <w:rPr>
          <w:rFonts w:ascii="宋体" w:hAnsi="宋体" w:cs="宋体"/>
          <w:b/>
          <w:szCs w:val="24"/>
        </w:rPr>
      </w:pPr>
    </w:p>
    <w:p>
      <w:pPr>
        <w:pStyle w:val="14"/>
        <w:jc w:val="center"/>
        <w:rPr>
          <w:rFonts w:eastAsia="宋体"/>
          <w:b/>
          <w:bCs/>
        </w:rPr>
      </w:pPr>
      <w:r>
        <w:rPr>
          <w:rFonts w:hint="eastAsia"/>
          <w:b/>
          <w:bCs/>
        </w:rPr>
        <w:t>目录</w:t>
      </w:r>
    </w:p>
    <w:p>
      <w:pPr>
        <w:pStyle w:val="7"/>
        <w:spacing w:line="360" w:lineRule="auto"/>
        <w:ind w:firstLine="240" w:firstLineChars="100"/>
      </w:pPr>
      <w:r>
        <w:rPr>
          <w:rFonts w:hint="eastAsia"/>
        </w:rPr>
        <w:t>第一章 合同书  ……………………………………………………………（页码）</w:t>
      </w:r>
    </w:p>
    <w:p>
      <w:pPr>
        <w:pStyle w:val="7"/>
        <w:spacing w:line="360" w:lineRule="auto"/>
        <w:ind w:firstLine="240" w:firstLineChars="100"/>
        <w:rPr>
          <w:rFonts w:hint="eastAsia"/>
        </w:rPr>
      </w:pPr>
      <w:r>
        <w:rPr>
          <w:rFonts w:hint="eastAsia"/>
        </w:rPr>
        <w:t>第二章 合同一般条款………………………………………………………（页码）</w:t>
      </w:r>
    </w:p>
    <w:p>
      <w:pPr>
        <w:pStyle w:val="7"/>
        <w:spacing w:line="360" w:lineRule="auto"/>
        <w:ind w:firstLine="240" w:firstLineChars="100"/>
        <w:rPr>
          <w:rFonts w:hint="eastAsia"/>
        </w:rPr>
      </w:pPr>
      <w:r>
        <w:rPr>
          <w:rFonts w:hint="eastAsia"/>
        </w:rPr>
        <w:t>第</w:t>
      </w:r>
      <w:r>
        <w:rPr>
          <w:rFonts w:hint="eastAsia"/>
          <w:lang w:val="en-US" w:eastAsia="zh-CN"/>
        </w:rPr>
        <w:t>三</w:t>
      </w:r>
      <w:r>
        <w:rPr>
          <w:rFonts w:hint="eastAsia"/>
        </w:rPr>
        <w:t xml:space="preserve">章 </w:t>
      </w:r>
      <w:r>
        <w:rPr>
          <w:rFonts w:hint="eastAsia"/>
          <w:lang w:val="en-US" w:eastAsia="zh-CN"/>
        </w:rPr>
        <w:t>安全</w:t>
      </w:r>
      <w:r>
        <w:rPr>
          <w:rFonts w:hint="eastAsia"/>
        </w:rPr>
        <w:t>协议……………………………………………………………（页码）</w:t>
      </w:r>
    </w:p>
    <w:p>
      <w:pPr>
        <w:pStyle w:val="7"/>
        <w:spacing w:line="360" w:lineRule="auto"/>
        <w:ind w:firstLine="240" w:firstLineChars="100"/>
      </w:pPr>
      <w:r>
        <w:rPr>
          <w:rFonts w:hint="eastAsia"/>
        </w:rPr>
        <w:t>第</w:t>
      </w:r>
      <w:r>
        <w:rPr>
          <w:rFonts w:hint="eastAsia"/>
          <w:lang w:val="en-US" w:eastAsia="zh-CN"/>
        </w:rPr>
        <w:t>四</w:t>
      </w:r>
      <w:r>
        <w:rPr>
          <w:rFonts w:hint="eastAsia"/>
        </w:rPr>
        <w:t>章 廉洁协议……………………………………………………………（页码）</w:t>
      </w:r>
    </w:p>
    <w:p>
      <w:pPr>
        <w:pStyle w:val="7"/>
        <w:spacing w:line="360" w:lineRule="auto"/>
        <w:ind w:firstLine="240" w:firstLineChars="100"/>
        <w:rPr>
          <w:rFonts w:hint="eastAsia"/>
        </w:rPr>
      </w:pPr>
    </w:p>
    <w:p>
      <w:pPr>
        <w:pStyle w:val="23"/>
        <w:rPr>
          <w:rFonts w:ascii="宋体" w:hAnsi="宋体" w:cs="宋体"/>
          <w:szCs w:val="24"/>
        </w:rPr>
      </w:pPr>
    </w:p>
    <w:p>
      <w:pPr>
        <w:pStyle w:val="7"/>
        <w:rPr>
          <w:rFonts w:cs="宋体"/>
        </w:rPr>
      </w:pPr>
    </w:p>
    <w:p>
      <w:pPr>
        <w:pStyle w:val="7"/>
        <w:rPr>
          <w:rFonts w:cs="宋体"/>
        </w:rPr>
      </w:pPr>
    </w:p>
    <w:p>
      <w:pPr>
        <w:pStyle w:val="7"/>
        <w:rPr>
          <w:rFonts w:cs="宋体"/>
        </w:rPr>
      </w:pPr>
    </w:p>
    <w:p>
      <w:pPr>
        <w:pStyle w:val="7"/>
        <w:rPr>
          <w:rFonts w:cs="宋体"/>
        </w:rPr>
      </w:pPr>
    </w:p>
    <w:p>
      <w:pPr>
        <w:pStyle w:val="7"/>
        <w:rPr>
          <w:rFonts w:cs="宋体"/>
        </w:rPr>
      </w:pPr>
    </w:p>
    <w:p>
      <w:pPr>
        <w:pStyle w:val="7"/>
        <w:rPr>
          <w:rFonts w:cs="宋体"/>
        </w:rPr>
      </w:pPr>
    </w:p>
    <w:p>
      <w:pPr>
        <w:pStyle w:val="7"/>
        <w:rPr>
          <w:rFonts w:cs="宋体"/>
        </w:rPr>
      </w:pPr>
    </w:p>
    <w:p>
      <w:pPr>
        <w:pStyle w:val="7"/>
        <w:rPr>
          <w:rFonts w:cs="宋体"/>
        </w:rPr>
      </w:pPr>
    </w:p>
    <w:p>
      <w:pPr>
        <w:pStyle w:val="7"/>
        <w:rPr>
          <w:rFonts w:cs="宋体"/>
        </w:rPr>
      </w:pPr>
    </w:p>
    <w:p>
      <w:pPr>
        <w:pStyle w:val="7"/>
        <w:rPr>
          <w:rFonts w:cs="宋体"/>
        </w:rPr>
      </w:pPr>
    </w:p>
    <w:p>
      <w:pPr>
        <w:pStyle w:val="7"/>
        <w:rPr>
          <w:rFonts w:cs="宋体"/>
        </w:rPr>
      </w:pPr>
    </w:p>
    <w:p>
      <w:pPr>
        <w:pStyle w:val="7"/>
        <w:rPr>
          <w:rFonts w:cs="宋体"/>
        </w:rPr>
      </w:pPr>
    </w:p>
    <w:p>
      <w:pPr>
        <w:pStyle w:val="7"/>
        <w:rPr>
          <w:rFonts w:cs="宋体"/>
        </w:rPr>
      </w:pPr>
    </w:p>
    <w:p>
      <w:pPr>
        <w:pStyle w:val="7"/>
        <w:rPr>
          <w:rFonts w:cs="宋体"/>
        </w:rPr>
      </w:pPr>
    </w:p>
    <w:p>
      <w:pPr>
        <w:pStyle w:val="7"/>
        <w:rPr>
          <w:rFonts w:cs="宋体"/>
        </w:rPr>
      </w:pPr>
    </w:p>
    <w:p>
      <w:pPr>
        <w:pStyle w:val="7"/>
        <w:rPr>
          <w:rFonts w:cs="宋体"/>
        </w:rPr>
      </w:pPr>
    </w:p>
    <w:p>
      <w:pPr>
        <w:pStyle w:val="7"/>
        <w:rPr>
          <w:rFonts w:cs="宋体"/>
        </w:rPr>
      </w:pPr>
    </w:p>
    <w:p>
      <w:pPr>
        <w:pStyle w:val="7"/>
        <w:rPr>
          <w:rFonts w:cs="宋体"/>
        </w:rPr>
      </w:pPr>
    </w:p>
    <w:p>
      <w:pPr>
        <w:pStyle w:val="7"/>
        <w:rPr>
          <w:rFonts w:cs="宋体"/>
        </w:rPr>
      </w:pPr>
    </w:p>
    <w:p>
      <w:pPr>
        <w:pStyle w:val="23"/>
        <w:ind w:left="0" w:leftChars="0" w:firstLine="0" w:firstLineChars="0"/>
        <w:jc w:val="both"/>
        <w:rPr>
          <w:rFonts w:ascii="宋体" w:hAnsi="宋体" w:cs="宋体"/>
          <w:b/>
          <w:szCs w:val="24"/>
        </w:rPr>
      </w:pPr>
    </w:p>
    <w:p>
      <w:pPr>
        <w:pStyle w:val="23"/>
        <w:ind w:left="0" w:leftChars="0" w:firstLine="0" w:firstLineChars="0"/>
        <w:jc w:val="center"/>
        <w:rPr>
          <w:rFonts w:ascii="宋体" w:hAnsi="宋体" w:cs="宋体"/>
          <w:b/>
          <w:szCs w:val="24"/>
        </w:rPr>
      </w:pPr>
      <w:r>
        <w:rPr>
          <w:rFonts w:hint="eastAsia" w:ascii="宋体" w:hAnsi="宋体" w:cs="宋体"/>
          <w:b/>
          <w:szCs w:val="24"/>
        </w:rPr>
        <w:t>第一章 合同书</w:t>
      </w:r>
    </w:p>
    <w:p>
      <w:pP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2024年临江公司锅炉水平烟道落灰管改造及炉排底冷却风管改造备件采购</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 xml:space="preserve">   （中标或者成交供应商名称）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pP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u w:val="single"/>
          <w:lang w:eastAsia="zh-CN"/>
        </w:rPr>
        <w:t>（</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u w:val="single"/>
          <w:lang w:eastAsia="zh-CN"/>
        </w:rPr>
        <w:t>（</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pPr>
        <w:spacing w:line="360" w:lineRule="auto"/>
        <w:ind w:firstLine="482" w:firstLineChars="200"/>
        <w:outlineLvl w:val="0"/>
        <w:rPr>
          <w:rFonts w:ascii="宋体" w:hAnsi="宋体" w:cs="宋体"/>
          <w:b/>
          <w:sz w:val="24"/>
        </w:rPr>
      </w:pPr>
      <w:bookmarkStart w:id="384" w:name="_Toc3029"/>
      <w:bookmarkStart w:id="385" w:name="_Toc2232"/>
      <w:bookmarkStart w:id="386" w:name="_Toc24059"/>
      <w:r>
        <w:rPr>
          <w:rFonts w:hint="eastAsia" w:ascii="宋体" w:hAnsi="宋体" w:cs="宋体"/>
          <w:b/>
          <w:sz w:val="24"/>
        </w:rPr>
        <w:t>一、合同组成部分</w:t>
      </w:r>
      <w:bookmarkEnd w:id="384"/>
      <w:bookmarkEnd w:id="385"/>
      <w:bookmarkEnd w:id="386"/>
    </w:p>
    <w:p>
      <w:pP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pPr>
        <w:spacing w:line="360" w:lineRule="auto"/>
        <w:ind w:firstLine="480" w:firstLineChars="200"/>
        <w:rPr>
          <w:rFonts w:ascii="宋体" w:hAnsi="宋体" w:cs="宋体"/>
          <w:sz w:val="24"/>
        </w:rPr>
      </w:pPr>
      <w:r>
        <w:rPr>
          <w:rFonts w:hint="eastAsia" w:ascii="宋体" w:hAnsi="宋体" w:cs="宋体"/>
          <w:sz w:val="24"/>
        </w:rPr>
        <w:t>1. 本合同及其补充合同、变更协议；</w:t>
      </w:r>
    </w:p>
    <w:p>
      <w:pPr>
        <w:spacing w:line="360" w:lineRule="auto"/>
        <w:ind w:firstLine="480" w:firstLineChars="200"/>
        <w:rPr>
          <w:rFonts w:ascii="宋体" w:hAnsi="宋体" w:cs="宋体"/>
          <w:sz w:val="24"/>
        </w:rPr>
      </w:pPr>
      <w:r>
        <w:rPr>
          <w:rFonts w:hint="eastAsia" w:ascii="宋体" w:hAnsi="宋体" w:cs="宋体"/>
          <w:sz w:val="24"/>
        </w:rPr>
        <w:t>2.中标或者成交通知书；</w:t>
      </w:r>
    </w:p>
    <w:p>
      <w:pP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pPr>
        <w:spacing w:line="360" w:lineRule="auto"/>
        <w:ind w:firstLine="480" w:firstLineChars="200"/>
        <w:rPr>
          <w:rFonts w:ascii="宋体" w:hAnsi="宋体" w:cs="宋体"/>
          <w:sz w:val="24"/>
        </w:rPr>
      </w:pPr>
      <w:r>
        <w:rPr>
          <w:rFonts w:hint="eastAsia" w:ascii="宋体" w:hAnsi="宋体" w:cs="宋体"/>
          <w:sz w:val="24"/>
        </w:rPr>
        <w:t>4.采购文件（含澄清或者修改文件）；</w:t>
      </w:r>
    </w:p>
    <w:p>
      <w:pPr>
        <w:spacing w:line="360" w:lineRule="auto"/>
        <w:ind w:firstLine="480" w:firstLineChars="200"/>
        <w:rPr>
          <w:rFonts w:ascii="宋体" w:hAnsi="宋体" w:cs="宋体"/>
          <w:sz w:val="24"/>
        </w:rPr>
      </w:pPr>
      <w:r>
        <w:rPr>
          <w:rFonts w:hint="eastAsia" w:ascii="宋体" w:hAnsi="宋体" w:cs="宋体"/>
          <w:sz w:val="24"/>
        </w:rPr>
        <w:t>5. 其他相关采购文件。</w:t>
      </w:r>
    </w:p>
    <w:p>
      <w:pPr>
        <w:spacing w:line="360" w:lineRule="auto"/>
        <w:ind w:firstLine="482" w:firstLineChars="200"/>
        <w:outlineLvl w:val="0"/>
        <w:rPr>
          <w:rFonts w:ascii="宋体" w:hAnsi="宋体" w:cs="宋体"/>
          <w:sz w:val="24"/>
        </w:rPr>
      </w:pPr>
      <w:bookmarkStart w:id="387" w:name="_Toc24300"/>
      <w:bookmarkStart w:id="388" w:name="_Toc27126"/>
      <w:bookmarkStart w:id="389" w:name="_Toc21295"/>
      <w:r>
        <w:rPr>
          <w:rFonts w:hint="eastAsia" w:ascii="宋体" w:hAnsi="宋体" w:cs="宋体"/>
          <w:b/>
          <w:sz w:val="24"/>
        </w:rPr>
        <w:t xml:space="preserve">二、 </w:t>
      </w:r>
      <w:bookmarkEnd w:id="387"/>
      <w:bookmarkEnd w:id="388"/>
      <w:bookmarkEnd w:id="389"/>
      <w:r>
        <w:rPr>
          <w:rFonts w:hint="eastAsia" w:ascii="宋体" w:hAnsi="宋体" w:cs="宋体"/>
          <w:b/>
          <w:sz w:val="24"/>
        </w:rPr>
        <w:t>合同标的及价款</w:t>
      </w:r>
    </w:p>
    <w:p>
      <w:pPr>
        <w:spacing w:line="360" w:lineRule="auto"/>
        <w:ind w:firstLine="480" w:firstLineChars="200"/>
        <w:rPr>
          <w:rFonts w:ascii="宋体" w:hAnsi="宋体" w:cs="宋体"/>
          <w:sz w:val="24"/>
        </w:rPr>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i/>
          <w:iCs/>
          <w:sz w:val="24"/>
          <w:u w:val="single"/>
        </w:rPr>
        <w:t xml:space="preserve">13/9/6/3/1 </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 xml:space="preserve">元，三固事业部 </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单价和总价均包括但不限于货款、包装费、运输费及运输保险费（如有）、装卸费、安装调试费（如有）、售后服务费及税费等全部费用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pPr>
        <w:pStyle w:val="24"/>
        <w:spacing w:before="0" w:beforeAutospacing="0" w:after="0" w:afterAutospacing="0" w:line="360" w:lineRule="auto"/>
        <w:ind w:firstLine="480"/>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p>
      <w:pPr>
        <w:spacing w:line="360" w:lineRule="auto"/>
        <w:ind w:firstLine="480" w:firstLineChars="200"/>
        <w:rPr>
          <w:rFonts w:hint="eastAsia" w:ascii="宋体" w:hAnsi="宋体" w:cs="宋体"/>
          <w:sz w:val="24"/>
          <w:lang w:val="en-US" w:eastAsia="zh-CN"/>
        </w:rPr>
      </w:pPr>
      <w:r>
        <w:rPr>
          <w:rFonts w:hint="eastAsia" w:ascii="宋体" w:hAnsi="宋体" w:cs="宋体"/>
          <w:sz w:val="24"/>
        </w:rPr>
        <w:t>3.货物名称、品牌、规格型号</w:t>
      </w:r>
      <w:r>
        <w:rPr>
          <w:rFonts w:hint="eastAsia" w:ascii="宋体" w:hAnsi="宋体" w:cs="宋体"/>
          <w:sz w:val="24"/>
          <w:lang w:val="en-US" w:eastAsia="zh-CN"/>
        </w:rPr>
        <w:t>如下：</w:t>
      </w:r>
    </w:p>
    <w:tbl>
      <w:tblPr>
        <w:tblStyle w:val="15"/>
        <w:tblW w:w="945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3"/>
        <w:gridCol w:w="1611"/>
        <w:gridCol w:w="616"/>
        <w:gridCol w:w="2482"/>
        <w:gridCol w:w="668"/>
        <w:gridCol w:w="641"/>
        <w:gridCol w:w="641"/>
        <w:gridCol w:w="641"/>
        <w:gridCol w:w="16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序号</w:t>
            </w: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物资名称</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品牌</w:t>
            </w:r>
          </w:p>
        </w:tc>
        <w:tc>
          <w:tcPr>
            <w:tcW w:w="24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型号规格</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单位</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数量</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单价（元）</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总计（元）</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不锈钢钢管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φ32*3.5 材质：316L</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482</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restart"/>
            <w:tcBorders>
              <w:top w:val="single" w:color="000000" w:sz="4" w:space="0"/>
              <w:left w:val="single" w:color="000000" w:sz="4" w:space="0"/>
              <w:right w:val="single" w:color="000000" w:sz="4" w:space="0"/>
            </w:tcBorders>
            <w:shd w:val="clear" w:color="auto" w:fill="auto"/>
            <w:noWrap/>
            <w:vAlign w:val="center"/>
          </w:tcPr>
          <w:p>
            <w:pPr>
              <w:tabs>
                <w:tab w:val="left" w:pos="542"/>
              </w:tabs>
              <w:jc w:val="center"/>
              <w:rPr>
                <w:rFonts w:hint="default" w:ascii="宋体" w:hAnsi="宋体" w:eastAsia="宋体" w:cs="宋体"/>
                <w:snapToGrid w:val="0"/>
                <w:szCs w:val="21"/>
                <w:lang w:val="en-US" w:eastAsia="zh-CN"/>
              </w:rPr>
            </w:pPr>
            <w:r>
              <w:rPr>
                <w:rFonts w:hint="eastAsia" w:ascii="宋体" w:hAnsi="宋体" w:eastAsia="宋体" w:cs="宋体"/>
                <w:b/>
                <w:bCs/>
                <w:snapToGrid w:val="0"/>
                <w:szCs w:val="21"/>
                <w:lang w:val="en-US" w:eastAsia="zh-CN"/>
              </w:rPr>
              <w:t>材料报价包含改造安装过程中所有的油漆、工具、辅材、人工、脚手架及其他安全措施费。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等径三通</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φ32*3.5 材质：316L</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法兰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DN25  PN16 304不锈钢</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法兰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DN15  PN16 304不锈钢</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液碱输送泵</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格兰富</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型号：CR10-9A-FJ-A-E-HQQE 功率：3KW 流量：10m³/h 扬程：72.3m 最大扬程：91.8m  转速2902r/min 介质：30%氢氧化钠溶液 过流件耐酸耐碱</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不锈钢压力表</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型号：Y-150B-FZ φ150，径向，精度1.6%，全密封型，安全玻璃，表壳材质304，IP65，充油耐震型，介质20%氢氧化钠，常温，压力1MPa，量程范围0~1.6MPa，过程连接G3/8 外螺纹</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压力变送器</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罗斯蒙特</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型号：3051GP2A2B21BM5HR5(配316材质1/4NPT外转换14转换接头) 迁移量100%，电源24VDC，精度0.075%，输出信号4~20mA+HART,两线制，电气接口规格M20*1.5，IP66，带LCD显示，介质:30%氢氧化钠，温度:常温，压力:0.3MPa，测量范围:0~1.6Mpa，过程连接NPT1/2"内螺纹:过流部件:316L</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电磁流量计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正常流量1.5m³/h，最大流量：3m³/h，刻度流量0~5m³/h ，内部材料：PTFE或同等材料；电极：316L；精确度±1%，电源：220VAC 50Hz，防护等级：IP65，输出： 4~20mA HART + 脉冲 无源，液晶显示，瞬时量、累积量，参数可调，工艺介质：30%氢氧化钠、 常温；法兰连接，GB9119-2010，DN25 PN1.6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气动调节阀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型号：ZXP-16R DN25 PN16 工艺介质：30%氢氧化钠、 常温 最小/常用/最大流量m³/h：0.1/1.5/3 阀前/阀后压力MPa: 0.45/0.3 管道直径：DN25 过程连接：法兰连接 供电电源：24V 精度0.5级 带输入信号、反馈信号4-20mA 带位置反馈、集成智能定位器 不防爆、电气连接：M20*1.5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止回阀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型号：H61W-16P  DN25 PN16 连接形式：焊接 材质:304 密封材料：PTFE</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11</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气动关断阀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 xml:space="preserve">型号：Q641F-16 DN25 PN16 阀体材质：304 工艺介质：20%氢氧化钠  过程连接：法兰连接 供电电源：24V  带输入信号、反馈信号4-20mA 带位置反馈 </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手动球阀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型号：Q61F-16P DN15 材质：304 介质：30%氢氧化钠溶液</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13</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手动球阀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型号：Q61F-16P DN25 材质：304 介质：30%氢氧化钠溶液</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14</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型号：ZR-YJV-0.6/1KV 芯数截面：1(4*2.5)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500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型号：ZR-KVVP-0.45/0.75kV 芯数截面：1(4*1.0)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16</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型号：ZR-KVVP-0.45/0.75kV 芯数截面：1(6*1.0)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17</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型号：ZR-DJYPVP-0.3/0.5kV 芯数截面：1(1*2*1.0)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500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18</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型号：ZR-DJYPVP-0.3/0.5kV 芯数截面：1(2*2*1.0)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900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19</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型号：ZR-KVVP-0.45/0.75kV 芯数截面：1(6*1.0)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900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型号：ZR-DJYPVP-0.3/0.5kV 芯数截面：1(1*2*1.0)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900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8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合计</w:t>
            </w:r>
          </w:p>
        </w:tc>
        <w:tc>
          <w:tcPr>
            <w:tcW w:w="357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bl>
    <w:p>
      <w:pPr>
        <w:spacing w:line="360" w:lineRule="auto"/>
        <w:ind w:firstLine="480" w:firstLineChars="200"/>
        <w:rPr>
          <w:rFonts w:hint="default" w:ascii="宋体" w:hAnsi="宋体" w:cs="宋体" w:eastAsiaTheme="minorEastAsia"/>
          <w:sz w:val="24"/>
          <w:lang w:val="en-US" w:eastAsia="zh-CN"/>
        </w:rPr>
      </w:pPr>
      <w:r>
        <w:rPr>
          <w:rFonts w:hint="eastAsia" w:ascii="宋体" w:hAnsi="宋体" w:cs="宋体"/>
          <w:sz w:val="24"/>
        </w:rPr>
        <w:t>4.货物数量</w:t>
      </w:r>
      <w:r>
        <w:rPr>
          <w:rFonts w:hint="eastAsia" w:ascii="宋体" w:hAnsi="宋体" w:cs="宋体"/>
          <w:sz w:val="24"/>
          <w:u w:val="single"/>
        </w:rPr>
        <w:t>：清单数量为</w:t>
      </w:r>
      <w:r>
        <w:rPr>
          <w:rFonts w:hint="eastAsia" w:ascii="宋体" w:hAnsi="宋体" w:cs="宋体"/>
          <w:sz w:val="24"/>
          <w:u w:val="single"/>
          <w:lang w:val="en-US" w:eastAsia="zh-CN"/>
        </w:rPr>
        <w:t>甲方根据方案图纸的数量测算</w:t>
      </w:r>
      <w:r>
        <w:rPr>
          <w:rFonts w:hint="eastAsia" w:ascii="宋体" w:hAnsi="宋体" w:cs="宋体"/>
          <w:sz w:val="24"/>
          <w:u w:val="single"/>
        </w:rPr>
        <w:t>，</w:t>
      </w:r>
      <w:r>
        <w:rPr>
          <w:rFonts w:hint="eastAsia" w:ascii="宋体" w:hAnsi="宋体" w:cs="宋体"/>
          <w:sz w:val="24"/>
          <w:u w:val="single"/>
          <w:lang w:val="en-US" w:eastAsia="zh-CN"/>
        </w:rPr>
        <w:t>乙方可按方案图纸测算或自行现场确认数量，材料使用数量按现场实际使用数量结算。</w:t>
      </w:r>
    </w:p>
    <w:p>
      <w:pPr>
        <w:pStyle w:val="24"/>
        <w:spacing w:before="0" w:beforeAutospacing="0" w:after="0" w:afterAutospacing="0" w:line="360" w:lineRule="auto"/>
        <w:ind w:firstLine="480"/>
        <w:rPr>
          <w:b/>
        </w:rPr>
      </w:pPr>
      <w:bookmarkStart w:id="390" w:name="_Toc22618"/>
      <w:bookmarkStart w:id="391" w:name="_Toc1814"/>
      <w:bookmarkStart w:id="392" w:name="_Toc10340"/>
      <w:r>
        <w:rPr>
          <w:rFonts w:hint="eastAsia"/>
          <w:b/>
        </w:rPr>
        <w:t>三、合同期限、货物交付期限、地点和联系方式、交付方式</w:t>
      </w:r>
    </w:p>
    <w:p>
      <w:pPr>
        <w:spacing w:line="360" w:lineRule="auto"/>
        <w:ind w:firstLine="480" w:firstLineChars="200"/>
        <w:rPr>
          <w:rFonts w:hint="eastAsia" w:ascii="宋体" w:hAnsi="宋体" w:cs="宋体"/>
          <w:sz w:val="24"/>
          <w:u w:val="single"/>
          <w:lang w:val="en-US" w:eastAsia="zh-CN"/>
        </w:rPr>
      </w:pPr>
      <w:r>
        <w:rPr>
          <w:rFonts w:hint="eastAsia" w:ascii="宋体" w:hAnsi="宋体" w:cs="宋体"/>
          <w:sz w:val="24"/>
        </w:rPr>
        <w:t>1.合同期限：</w:t>
      </w:r>
      <w:r>
        <w:rPr>
          <w:rFonts w:hint="eastAsia" w:ascii="宋体" w:hAnsi="宋体" w:cs="宋体"/>
          <w:sz w:val="24"/>
          <w:highlight w:val="none"/>
          <w:u w:val="single"/>
          <w:lang w:val="en-US" w:eastAsia="zh-CN"/>
        </w:rPr>
        <w:t>自合同签订生效后30天内完成供货、安装及调试；</w:t>
      </w:r>
    </w:p>
    <w:p>
      <w:pP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highlight w:val="none"/>
          <w:u w:val="single"/>
          <w:lang w:val="en-US" w:eastAsia="zh-CN"/>
        </w:rPr>
        <w:t>自合同签订生效后30天内完成供货、安装及调试</w:t>
      </w:r>
      <w:r>
        <w:rPr>
          <w:rFonts w:hint="eastAsia" w:ascii="宋体" w:hAnsi="宋体" w:cs="宋体"/>
          <w:sz w:val="24"/>
          <w:u w:val="single"/>
        </w:rPr>
        <w:t xml:space="preserve"> </w:t>
      </w:r>
      <w:r>
        <w:rPr>
          <w:rFonts w:hint="eastAsia" w:ascii="宋体" w:hAnsi="宋体" w:cs="宋体"/>
          <w:sz w:val="24"/>
        </w:rPr>
        <w:t>；</w:t>
      </w:r>
    </w:p>
    <w:p>
      <w:pP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pP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pP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pP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pP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pPr>
        <w:spacing w:line="360" w:lineRule="auto"/>
        <w:ind w:firstLine="480" w:firstLineChars="200"/>
        <w:rPr>
          <w:b/>
        </w:rPr>
      </w:pPr>
      <w:r>
        <w:rPr>
          <w:rFonts w:hint="eastAsia" w:ascii="宋体" w:hAnsi="宋体" w:cs="宋体"/>
          <w:sz w:val="24"/>
        </w:rPr>
        <w:t>（3）特殊情况下，双方友好协商解决。</w:t>
      </w:r>
    </w:p>
    <w:p>
      <w:pPr>
        <w:pStyle w:val="24"/>
        <w:spacing w:before="0" w:beforeAutospacing="0" w:after="0" w:afterAutospacing="0" w:line="360" w:lineRule="auto"/>
        <w:ind w:firstLine="480"/>
        <w:rPr>
          <w:b/>
        </w:rPr>
      </w:pPr>
      <w:r>
        <w:rPr>
          <w:rFonts w:hint="eastAsia"/>
          <w:b/>
        </w:rPr>
        <w:t>四、技术和质量要求</w:t>
      </w:r>
    </w:p>
    <w:p>
      <w:pPr>
        <w:pStyle w:val="6"/>
        <w:ind w:firstLine="480" w:firstLineChars="200"/>
        <w:rPr>
          <w:rFonts w:hint="eastAsia" w:ascii="宋体"/>
          <w:color w:val="auto"/>
          <w:highlight w:val="none"/>
          <w:lang w:val="en-US" w:eastAsia="zh-CN"/>
        </w:rPr>
      </w:pPr>
      <w:bookmarkStart w:id="393" w:name="_Toc14563"/>
      <w:bookmarkStart w:id="394" w:name="_Toc6596"/>
      <w:bookmarkStart w:id="395" w:name="_Toc1125"/>
      <w:r>
        <w:rPr>
          <w:rFonts w:hint="eastAsia" w:ascii="宋体"/>
          <w:color w:val="auto"/>
          <w:highlight w:val="none"/>
          <w:lang w:val="en-US" w:eastAsia="zh-CN"/>
        </w:rPr>
        <w:t>1.</w:t>
      </w:r>
      <w:r>
        <w:rPr>
          <w:rFonts w:hint="eastAsia"/>
          <w:color w:val="auto"/>
          <w:highlight w:val="none"/>
          <w:lang w:val="en-US" w:eastAsia="zh-CN"/>
        </w:rPr>
        <w:t>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pPr>
        <w:pStyle w:val="6"/>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2.乙方所供</w:t>
      </w:r>
      <w:r>
        <w:rPr>
          <w:rFonts w:hint="eastAsia"/>
          <w:color w:val="auto"/>
          <w:highlight w:val="none"/>
          <w:lang w:val="en-US" w:eastAsia="zh-CN"/>
        </w:rPr>
        <w:t>材料</w:t>
      </w:r>
      <w:r>
        <w:rPr>
          <w:rFonts w:hint="eastAsia" w:ascii="宋体"/>
          <w:color w:val="auto"/>
          <w:highlight w:val="none"/>
          <w:lang w:val="en-US" w:eastAsia="zh-CN"/>
        </w:rPr>
        <w:t>必须为合格正品，不得为假冒伪劣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p>
    <w:p>
      <w:pPr>
        <w:pStyle w:val="6"/>
        <w:numPr>
          <w:ilvl w:val="0"/>
          <w:numId w:val="0"/>
        </w:numPr>
        <w:ind w:firstLine="480" w:firstLineChars="200"/>
        <w:rPr>
          <w:rFonts w:hint="eastAsia"/>
          <w:highlight w:val="none"/>
          <w:lang w:val="en-US" w:eastAsia="zh-CN"/>
        </w:rPr>
      </w:pPr>
      <w:r>
        <w:rPr>
          <w:highlight w:val="none"/>
          <w:lang w:val="en-US"/>
        </w:rPr>
        <w:t>3</w:t>
      </w:r>
      <w:r>
        <w:rPr>
          <w:rFonts w:hint="eastAsia"/>
          <w:highlight w:val="none"/>
          <w:lang w:val="en-US"/>
        </w:rPr>
        <w:t>.</w:t>
      </w:r>
      <w:r>
        <w:rPr>
          <w:rFonts w:hint="eastAsia"/>
          <w:highlight w:val="none"/>
          <w:lang w:val="en-US" w:eastAsia="zh-CN"/>
        </w:rPr>
        <w:t>成品质保期限自验收合格后12个月，若质保期内出现质量问题（非质量问题除外），由乙方负责免费维修，产生的费用全部由乙方承担。</w:t>
      </w:r>
    </w:p>
    <w:p>
      <w:pPr>
        <w:pStyle w:val="6"/>
        <w:numPr>
          <w:ilvl w:val="0"/>
          <w:numId w:val="0"/>
        </w:numPr>
        <w:ind w:firstLine="480" w:firstLineChars="200"/>
        <w:rPr>
          <w:rFonts w:hint="eastAsia" w:ascii="宋体" w:hAnsi="宋体" w:eastAsia="宋体" w:cs="宋体"/>
          <w:lang w:val="en-US" w:eastAsia="zh-CN"/>
        </w:rPr>
      </w:pPr>
      <w:r>
        <w:rPr>
          <w:rFonts w:hint="eastAsia"/>
          <w:highlight w:val="none"/>
          <w:lang w:val="en-US" w:eastAsia="zh-CN"/>
        </w:rPr>
        <w:t>4.乙方负责对成品做除锈及油漆防腐处理，</w:t>
      </w:r>
      <w:r>
        <w:rPr>
          <w:rFonts w:hint="eastAsia" w:ascii="宋体" w:hAnsi="宋体" w:eastAsia="宋体" w:cs="宋体"/>
          <w:lang w:val="en-US" w:eastAsia="zh-CN"/>
        </w:rPr>
        <w:t>刷一道底漆，一道防锈面漆，面漆颜色，淡灰B03。</w:t>
      </w:r>
    </w:p>
    <w:p>
      <w:pPr>
        <w:pStyle w:val="6"/>
        <w:numPr>
          <w:ilvl w:val="0"/>
          <w:numId w:val="0"/>
        </w:numPr>
        <w:spacing w:after="0" w:line="360" w:lineRule="auto"/>
        <w:ind w:firstLine="480" w:firstLineChars="200"/>
        <w:rPr>
          <w:rFonts w:hint="default" w:ascii="宋体" w:hAnsi="Arial" w:cs="Arial" w:eastAsiaTheme="minorEastAsia"/>
          <w:b w:val="0"/>
          <w:bCs w:val="0"/>
          <w:snapToGrid w:val="0"/>
          <w:kern w:val="2"/>
          <w:sz w:val="24"/>
          <w:szCs w:val="24"/>
          <w:lang w:val="en-US" w:eastAsia="zh-CN" w:bidi="ar-SA"/>
        </w:rPr>
      </w:pPr>
      <w:r>
        <w:rPr>
          <w:rFonts w:hint="eastAsia" w:cs="Arial"/>
          <w:b w:val="0"/>
          <w:bCs w:val="0"/>
          <w:snapToGrid w:val="0"/>
          <w:kern w:val="2"/>
          <w:sz w:val="24"/>
          <w:szCs w:val="24"/>
          <w:lang w:val="en-US" w:eastAsia="zh-CN" w:bidi="ar-SA"/>
        </w:rPr>
        <w:t>5.</w:t>
      </w:r>
      <w:r>
        <w:rPr>
          <w:rFonts w:hint="default" w:ascii="宋体" w:hAnsi="Arial" w:cs="Arial" w:eastAsiaTheme="minorEastAsia"/>
          <w:b w:val="0"/>
          <w:bCs w:val="0"/>
          <w:snapToGrid w:val="0"/>
          <w:kern w:val="2"/>
          <w:sz w:val="24"/>
          <w:szCs w:val="24"/>
          <w:lang w:val="en-US" w:eastAsia="zh-CN" w:bidi="ar-SA"/>
        </w:rPr>
        <w:t>液碱制备间至反应塔底的管道标高为+5米，反应塔底爬升至反应塔顶的标高为+37.156米，反应塔顶管道水平布置，反应塔顶环境温度约50℃</w:t>
      </w:r>
      <w:r>
        <w:rPr>
          <w:rFonts w:hint="eastAsia" w:cs="Arial"/>
          <w:b w:val="0"/>
          <w:bCs w:val="0"/>
          <w:snapToGrid w:val="0"/>
          <w:kern w:val="2"/>
          <w:sz w:val="24"/>
          <w:szCs w:val="24"/>
          <w:lang w:val="en-US" w:eastAsia="zh-CN" w:bidi="ar-SA"/>
        </w:rPr>
        <w:t>，乙方自行考虑作业条件，或到现场确认。</w:t>
      </w:r>
      <w:r>
        <w:rPr>
          <w:rFonts w:hint="default" w:ascii="宋体" w:hAnsi="Arial" w:cs="Arial" w:eastAsiaTheme="minorEastAsia"/>
          <w:b w:val="0"/>
          <w:bCs w:val="0"/>
          <w:snapToGrid w:val="0"/>
          <w:kern w:val="2"/>
          <w:sz w:val="24"/>
          <w:szCs w:val="24"/>
          <w:lang w:val="en-US" w:eastAsia="zh-CN" w:bidi="ar-SA"/>
        </w:rPr>
        <w:t>安装过程中如需搭设脚手架，使用吊车、登高车等工程车辆，风扇、轴流风机等降温设备，电动葫芦、卷扬机等起吊设备，均</w:t>
      </w:r>
      <w:r>
        <w:rPr>
          <w:rFonts w:hint="eastAsia" w:cs="Arial"/>
          <w:b w:val="0"/>
          <w:bCs w:val="0"/>
          <w:snapToGrid w:val="0"/>
          <w:kern w:val="2"/>
          <w:sz w:val="24"/>
          <w:szCs w:val="24"/>
          <w:lang w:val="en-US" w:eastAsia="zh-CN" w:bidi="ar-SA"/>
        </w:rPr>
        <w:t>由</w:t>
      </w:r>
      <w:r>
        <w:rPr>
          <w:rFonts w:hint="default" w:ascii="宋体" w:hAnsi="Arial" w:cs="Arial" w:eastAsiaTheme="minorEastAsia"/>
          <w:b w:val="0"/>
          <w:bCs w:val="0"/>
          <w:snapToGrid w:val="0"/>
          <w:kern w:val="2"/>
          <w:sz w:val="24"/>
          <w:szCs w:val="24"/>
          <w:lang w:val="en-US" w:eastAsia="zh-CN" w:bidi="ar-SA"/>
        </w:rPr>
        <w:t>乙方自筹或租赁，所需费用由乙方自行承担。</w:t>
      </w:r>
    </w:p>
    <w:p>
      <w:pPr>
        <w:pStyle w:val="14"/>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6.主要作业内容：临江公司能源项目液碱喷淋脱酸系统安装（南北各一套）</w:t>
      </w:r>
    </w:p>
    <w:p>
      <w:pPr>
        <w:pStyle w:val="14"/>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1）液碱喷淋脱酸系统供应管道安装，总长约482米（单侧约241米），总爬高约37米；</w:t>
      </w:r>
    </w:p>
    <w:p>
      <w:pPr>
        <w:pStyle w:val="14"/>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 xml:space="preserve">2）管道布置时所需的支架、抱箍等安装； </w:t>
      </w:r>
    </w:p>
    <w:p>
      <w:pPr>
        <w:pStyle w:val="14"/>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3）管件、阀门、流量计、压力表的安装；</w:t>
      </w:r>
    </w:p>
    <w:p>
      <w:pPr>
        <w:pStyle w:val="14"/>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4）供应泵的安装及调试；</w:t>
      </w:r>
    </w:p>
    <w:p>
      <w:pPr>
        <w:pStyle w:val="14"/>
        <w:rPr>
          <w:rFonts w:hint="default"/>
          <w:lang w:val="en-US"/>
        </w:rPr>
      </w:pPr>
      <w:r>
        <w:rPr>
          <w:rFonts w:hint="eastAsia" w:hAnsi="Arial" w:cs="Arial"/>
          <w:b w:val="0"/>
          <w:bCs w:val="0"/>
          <w:snapToGrid w:val="0"/>
          <w:kern w:val="2"/>
          <w:sz w:val="24"/>
          <w:szCs w:val="24"/>
          <w:lang w:val="en-US" w:eastAsia="zh-CN" w:bidi="ar-SA"/>
        </w:rPr>
        <w:t>5）电缆敷设及接线（电缆敷设涉及的电缆桥架的拆除及恢复及相应的辅材均由乙方负责）。</w:t>
      </w:r>
    </w:p>
    <w:p>
      <w:pPr>
        <w:rPr>
          <w:rFonts w:hint="eastAsia"/>
        </w:rPr>
      </w:pPr>
    </w:p>
    <w:p>
      <w:pPr>
        <w:spacing w:line="360" w:lineRule="auto"/>
        <w:ind w:firstLine="482" w:firstLineChars="200"/>
        <w:outlineLvl w:val="0"/>
        <w:rPr>
          <w:rFonts w:ascii="宋体" w:hAnsi="宋体" w:cs="宋体"/>
          <w:b/>
          <w:sz w:val="24"/>
        </w:rPr>
      </w:pPr>
      <w:r>
        <w:rPr>
          <w:rFonts w:hint="eastAsia" w:ascii="宋体" w:hAnsi="宋体" w:cs="宋体"/>
          <w:b/>
          <w:sz w:val="24"/>
        </w:rPr>
        <w:t>五、服务要求</w:t>
      </w:r>
    </w:p>
    <w:p>
      <w:pPr>
        <w:pStyle w:val="6"/>
        <w:ind w:firstLine="480" w:firstLineChars="200"/>
        <w:rPr>
          <w:rFonts w:hint="eastAsia"/>
          <w:lang w:val="en-US"/>
        </w:rPr>
      </w:pPr>
      <w:r>
        <w:rPr>
          <w:rFonts w:hint="eastAsia"/>
          <w:lang w:val="en-US"/>
        </w:rPr>
        <w:t>1.</w:t>
      </w:r>
      <w:r>
        <w:rPr>
          <w:rFonts w:hint="eastAsia"/>
          <w:lang w:val="en-US" w:eastAsia="zh-CN"/>
        </w:rPr>
        <w:t>乙方的作业人员必须具备相应的资质要求（焊工证、登高证等）；</w:t>
      </w:r>
    </w:p>
    <w:p>
      <w:pPr>
        <w:pStyle w:val="6"/>
        <w:ind w:firstLine="480" w:firstLineChars="200"/>
        <w:rPr>
          <w:lang w:val="en-US"/>
        </w:rPr>
      </w:pPr>
      <w:r>
        <w:rPr>
          <w:rFonts w:hint="eastAsia"/>
          <w:lang w:val="en-US" w:eastAsia="zh-CN"/>
        </w:rPr>
        <w:t>2.</w:t>
      </w:r>
      <w:r>
        <w:rPr>
          <w:rFonts w:hint="eastAsia"/>
          <w:lang w:val="en-US"/>
        </w:rPr>
        <w:t>根据</w:t>
      </w:r>
      <w:r>
        <w:rPr>
          <w:rFonts w:hint="eastAsia"/>
          <w:lang w:val="en-US" w:eastAsia="zh-CN"/>
        </w:rPr>
        <w:t>甲方</w:t>
      </w:r>
      <w:r>
        <w:rPr>
          <w:rFonts w:hint="eastAsia"/>
          <w:lang w:val="en-US"/>
        </w:rPr>
        <w:t>生产计划，确定</w:t>
      </w:r>
      <w:r>
        <w:rPr>
          <w:rFonts w:hint="eastAsia"/>
          <w:lang w:val="en-US" w:eastAsia="zh-CN"/>
        </w:rPr>
        <w:t>供货及安装要求</w:t>
      </w:r>
      <w:r>
        <w:rPr>
          <w:rFonts w:hint="eastAsia"/>
          <w:lang w:val="en-US"/>
        </w:rPr>
        <w:t>，</w:t>
      </w:r>
      <w:r>
        <w:rPr>
          <w:rFonts w:hint="eastAsia"/>
          <w:lang w:val="en-US" w:eastAsia="zh-CN"/>
        </w:rPr>
        <w:t>乙方</w:t>
      </w:r>
      <w:r>
        <w:rPr>
          <w:rFonts w:hint="eastAsia"/>
          <w:lang w:val="en-US"/>
        </w:rPr>
        <w:t>负责在接到</w:t>
      </w:r>
      <w:r>
        <w:rPr>
          <w:rFonts w:hint="eastAsia"/>
          <w:lang w:val="en-US" w:eastAsia="zh-CN"/>
        </w:rPr>
        <w:t>甲方</w:t>
      </w:r>
      <w:r>
        <w:rPr>
          <w:rFonts w:hint="eastAsia"/>
          <w:lang w:val="en-US"/>
        </w:rPr>
        <w:t>电话或书面通知后在</w:t>
      </w:r>
      <w:r>
        <w:rPr>
          <w:rFonts w:hint="eastAsia"/>
          <w:highlight w:val="none"/>
          <w:lang w:val="en-US" w:eastAsia="zh-CN"/>
        </w:rPr>
        <w:t>6</w:t>
      </w:r>
      <w:r>
        <w:rPr>
          <w:rFonts w:hint="eastAsia"/>
          <w:highlight w:val="none"/>
          <w:lang w:val="en-US"/>
        </w:rPr>
        <w:t>个</w:t>
      </w:r>
      <w:r>
        <w:rPr>
          <w:rFonts w:hint="eastAsia"/>
          <w:highlight w:val="none"/>
          <w:lang w:val="en-US" w:eastAsia="zh-CN"/>
        </w:rPr>
        <w:t>月内</w:t>
      </w:r>
      <w:r>
        <w:rPr>
          <w:rFonts w:hint="eastAsia"/>
          <w:lang w:val="en-US" w:eastAsia="zh-CN"/>
        </w:rPr>
        <w:t>依次完成</w:t>
      </w:r>
      <w:r>
        <w:rPr>
          <w:rFonts w:hint="eastAsia"/>
          <w:lang w:val="en-US"/>
        </w:rPr>
        <w:t>供货</w:t>
      </w:r>
      <w:r>
        <w:rPr>
          <w:rFonts w:hint="eastAsia"/>
          <w:lang w:val="en-US" w:eastAsia="zh-CN"/>
        </w:rPr>
        <w:t>、安装</w:t>
      </w:r>
      <w:r>
        <w:rPr>
          <w:rFonts w:hint="eastAsia"/>
          <w:lang w:val="en-US"/>
        </w:rPr>
        <w:t>。</w:t>
      </w:r>
    </w:p>
    <w:p>
      <w:pPr>
        <w:pStyle w:val="6"/>
        <w:ind w:firstLine="480" w:firstLineChars="200"/>
        <w:rPr>
          <w:lang w:val="en-US"/>
        </w:rPr>
      </w:pPr>
      <w:r>
        <w:rPr>
          <w:rFonts w:hint="eastAsia"/>
          <w:lang w:val="en-US" w:eastAsia="zh-CN"/>
        </w:rPr>
        <w:t>3</w:t>
      </w:r>
      <w:r>
        <w:rPr>
          <w:rFonts w:hint="eastAsia"/>
          <w:lang w:val="en-US"/>
        </w:rPr>
        <w:t>.乙方必须满足甲方售后服务要求。如使用过程发生问题，乙方须在接到甲方通知后必须</w:t>
      </w:r>
      <w:r>
        <w:rPr>
          <w:rFonts w:hint="eastAsia"/>
          <w:lang w:val="en-US" w:eastAsia="zh-CN"/>
        </w:rPr>
        <w:t>24</w:t>
      </w:r>
      <w:r>
        <w:rPr>
          <w:rFonts w:hint="eastAsia"/>
          <w:lang w:val="en-US"/>
        </w:rPr>
        <w:t>小时内赶到现场进行处理，</w:t>
      </w:r>
      <w:r>
        <w:rPr>
          <w:rFonts w:hint="eastAsia"/>
          <w:lang w:val="en-US" w:eastAsia="zh-CN"/>
        </w:rPr>
        <w:t>8</w:t>
      </w:r>
      <w:r>
        <w:rPr>
          <w:rFonts w:hint="eastAsia"/>
          <w:lang w:val="en-US"/>
        </w:rPr>
        <w:t>小时内做出书面答复并提供解决方案。若需要派遣技术人员，则应在接到甲方通知后</w:t>
      </w:r>
      <w:r>
        <w:rPr>
          <w:rFonts w:hint="eastAsia"/>
          <w:lang w:val="en-US" w:eastAsia="zh-CN"/>
        </w:rPr>
        <w:t>，</w:t>
      </w:r>
      <w:r>
        <w:rPr>
          <w:rFonts w:hint="eastAsia"/>
          <w:lang w:val="en-US"/>
        </w:rPr>
        <w:t>24小时内派人员到达现场进行免费指导解决问题。</w:t>
      </w:r>
    </w:p>
    <w:p>
      <w:pPr>
        <w:pStyle w:val="6"/>
        <w:ind w:firstLine="480" w:firstLineChars="200"/>
        <w:rPr>
          <w:lang w:val="en-US"/>
        </w:rPr>
      </w:pPr>
      <w:r>
        <w:rPr>
          <w:rFonts w:hint="eastAsia"/>
          <w:lang w:val="en-US" w:eastAsia="zh-CN"/>
        </w:rPr>
        <w:t>4</w:t>
      </w:r>
      <w:r>
        <w:rPr>
          <w:rFonts w:hint="eastAsia"/>
          <w:lang w:val="en-US"/>
        </w:rPr>
        <w:t>.甲方不再对任何售后服务进行付费。乙方的派遣人员产生的一切费用由供应商承担。</w:t>
      </w:r>
    </w:p>
    <w:p>
      <w:pPr>
        <w:spacing w:line="360" w:lineRule="auto"/>
        <w:ind w:firstLine="482" w:firstLineChars="200"/>
        <w:outlineLvl w:val="0"/>
        <w:rPr>
          <w:rFonts w:ascii="宋体" w:hAnsi="宋体" w:cs="宋体"/>
          <w:b/>
          <w:sz w:val="24"/>
        </w:rPr>
      </w:pPr>
      <w:r>
        <w:rPr>
          <w:rFonts w:hint="eastAsia" w:ascii="宋体" w:hAnsi="宋体" w:cs="宋体"/>
          <w:b/>
          <w:sz w:val="24"/>
        </w:rPr>
        <w:t>六、检验和验收</w:t>
      </w:r>
      <w:bookmarkEnd w:id="393"/>
      <w:bookmarkEnd w:id="394"/>
      <w:bookmarkEnd w:id="395"/>
    </w:p>
    <w:p>
      <w:pP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pP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pP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pPr>
        <w:pStyle w:val="6"/>
        <w:ind w:firstLine="482" w:firstLineChars="200"/>
        <w:rPr>
          <w:rFonts w:hint="eastAsia" w:hAnsi="宋体"/>
          <w:b/>
          <w:lang w:val="en-US"/>
        </w:rPr>
      </w:pPr>
      <w:r>
        <w:rPr>
          <w:rFonts w:hint="eastAsia" w:hAnsi="宋体" w:eastAsia="宋体"/>
          <w:b/>
          <w:lang w:val="en-US"/>
        </w:rPr>
        <w:t>七、</w:t>
      </w:r>
      <w:r>
        <w:rPr>
          <w:rFonts w:hint="eastAsia" w:hAnsi="宋体"/>
          <w:b/>
          <w:lang w:val="en-US"/>
        </w:rPr>
        <w:t>验收特别约定条款</w:t>
      </w:r>
    </w:p>
    <w:p>
      <w:pPr>
        <w:pStyle w:val="14"/>
        <w:rPr>
          <w:rFonts w:hint="default" w:eastAsiaTheme="minorEastAsia"/>
          <w:u w:val="single"/>
          <w:lang w:val="en-US" w:eastAsia="zh-CN"/>
        </w:rPr>
      </w:pPr>
      <w:r>
        <w:rPr>
          <w:rFonts w:hint="eastAsia"/>
          <w:u w:val="single"/>
          <w:lang w:val="en-US" w:eastAsia="zh-CN"/>
        </w:rPr>
        <w:t xml:space="preserve"> 按方案图纸要求验收，甲乙双方现场签字验收单为验收合格依据 。</w:t>
      </w:r>
    </w:p>
    <w:p>
      <w:pPr>
        <w:pStyle w:val="6"/>
        <w:ind w:firstLine="482" w:firstLineChars="200"/>
        <w:rPr>
          <w:rFonts w:eastAsia="宋体"/>
          <w:b/>
        </w:rPr>
      </w:pPr>
      <w:r>
        <w:rPr>
          <w:rFonts w:hint="eastAsia" w:hAnsi="宋体"/>
          <w:b/>
          <w:lang w:val="en-US"/>
        </w:rPr>
        <w:t>八、</w:t>
      </w:r>
      <w:r>
        <w:rPr>
          <w:rFonts w:hint="eastAsia"/>
          <w:b/>
        </w:rPr>
        <w:t>履约保证金</w:t>
      </w:r>
    </w:p>
    <w:p>
      <w:pPr>
        <w:pStyle w:val="24"/>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pP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b/>
          <w:bCs/>
          <w:kern w:val="0"/>
          <w:sz w:val="24"/>
          <w:u w:val="single"/>
        </w:rPr>
        <w:t xml:space="preserve">5 </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pPr>
        <w:spacing w:line="360" w:lineRule="auto"/>
        <w:ind w:firstLine="480" w:firstLineChars="200"/>
        <w:outlineLvl w:val="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pPr>
        <w:spacing w:line="360" w:lineRule="auto"/>
        <w:ind w:firstLine="480" w:firstLineChars="200"/>
        <w:outlineLvl w:val="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 xml:space="preserve">名称：杭州临江环境能源有限公司   </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税号：91330100MA2B02NX2L</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pPr>
        <w:spacing w:line="360" w:lineRule="auto"/>
        <w:ind w:firstLine="480" w:firstLineChars="200"/>
        <w:outlineLvl w:val="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pacing w:line="360" w:lineRule="auto"/>
        <w:ind w:firstLine="480" w:firstLineChars="200"/>
        <w:outlineLvl w:val="0"/>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.甲方在验收结束后及时退还履约保证金。甲方在项目通过验收之日起 </w:t>
      </w:r>
      <w:r>
        <w:rPr>
          <w:rFonts w:hint="eastAsia" w:ascii="宋体" w:hAnsi="宋体" w:cs="宋体"/>
          <w:kern w:val="0"/>
          <w:sz w:val="24"/>
          <w:u w:val="single"/>
        </w:rPr>
        <w:t>30</w:t>
      </w:r>
      <w:r>
        <w:rPr>
          <w:rFonts w:hint="eastAsia" w:ascii="宋体" w:hAnsi="宋体" w:cs="宋体"/>
          <w:kern w:val="0"/>
          <w:sz w:val="24"/>
        </w:rPr>
        <w:t>个工作日内将履约保证金无息退还乙方。</w:t>
      </w:r>
    </w:p>
    <w:p>
      <w:pPr>
        <w:spacing w:line="360" w:lineRule="auto"/>
        <w:ind w:firstLine="480" w:firstLineChars="200"/>
        <w:outlineLvl w:val="0"/>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pPr>
        <w:spacing w:line="360" w:lineRule="auto"/>
        <w:ind w:firstLine="482" w:firstLineChars="200"/>
        <w:outlineLvl w:val="0"/>
        <w:rPr>
          <w:rFonts w:ascii="宋体" w:hAnsi="宋体" w:eastAsia="宋体" w:cs="宋体"/>
          <w:b/>
          <w:sz w:val="24"/>
        </w:rPr>
      </w:pPr>
      <w:r>
        <w:rPr>
          <w:rFonts w:hint="eastAsia" w:ascii="宋体" w:hAnsi="宋体" w:cs="宋体"/>
          <w:b/>
          <w:sz w:val="24"/>
        </w:rPr>
        <w:t>九、预付款</w:t>
      </w:r>
    </w:p>
    <w:p>
      <w:pPr>
        <w:pStyle w:val="24"/>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pP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pPr>
        <w:pStyle w:val="24"/>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pPr>
        <w:pStyle w:val="24"/>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pPr>
        <w:pStyle w:val="24"/>
        <w:spacing w:before="0" w:beforeAutospacing="0" w:after="0" w:afterAutospacing="0" w:line="360" w:lineRule="auto"/>
        <w:ind w:firstLine="480"/>
        <w:rPr>
          <w:b/>
          <w:bCs/>
        </w:rPr>
      </w:pPr>
      <w:r>
        <w:rPr>
          <w:rFonts w:hint="eastAsia"/>
          <w:b/>
          <w:bCs/>
        </w:rPr>
        <w:t>十、资金支付</w:t>
      </w:r>
    </w:p>
    <w:p>
      <w:pPr>
        <w:pStyle w:val="24"/>
        <w:spacing w:before="0" w:beforeAutospacing="0" w:after="0" w:afterAutospacing="0" w:line="360" w:lineRule="auto"/>
        <w:ind w:firstLine="480"/>
      </w:pPr>
      <w:bookmarkStart w:id="396" w:name="_Toc2846"/>
      <w:bookmarkStart w:id="397" w:name="_Toc19304"/>
      <w:bookmarkStart w:id="398" w:name="_Toc32071"/>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pPr>
        <w:pStyle w:val="24"/>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b/>
          <w:bCs/>
          <w:u w:val="single"/>
        </w:rPr>
        <w:t xml:space="preserve"> </w:t>
      </w:r>
      <w:r>
        <w:rPr>
          <w:rFonts w:hint="eastAsia"/>
        </w:rPr>
        <w:t>有质保金。若有质保金的，则：</w:t>
      </w:r>
    </w:p>
    <w:p>
      <w:pP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w:t>
      </w:r>
      <w:r>
        <w:rPr>
          <w:rFonts w:hint="eastAsia" w:ascii="宋体" w:hAnsi="宋体" w:cs="宋体"/>
          <w:kern w:val="0"/>
          <w:sz w:val="24"/>
          <w:u w:val="single"/>
          <w:lang w:val="en-US" w:eastAsia="zh-CN"/>
        </w:rPr>
        <w:t>12个月</w:t>
      </w:r>
      <w:r>
        <w:rPr>
          <w:rFonts w:hint="eastAsia" w:ascii="宋体" w:hAnsi="宋体" w:cs="宋体"/>
          <w:kern w:val="0"/>
          <w:sz w:val="24"/>
          <w:u w:val="single"/>
        </w:rPr>
        <w:t xml:space="preserve">   </w:t>
      </w:r>
      <w:r>
        <w:rPr>
          <w:rFonts w:hint="eastAsia" w:ascii="宋体" w:hAnsi="宋体" w:cs="宋体"/>
          <w:kern w:val="0"/>
          <w:sz w:val="24"/>
        </w:rPr>
        <w:t>；</w:t>
      </w:r>
    </w:p>
    <w:p>
      <w:pPr>
        <w:pStyle w:val="24"/>
        <w:spacing w:before="0" w:beforeAutospacing="0" w:after="0" w:afterAutospacing="0" w:line="360" w:lineRule="auto"/>
        <w:ind w:firstLine="480"/>
      </w:pPr>
      <w:r>
        <w:rPr>
          <w:rFonts w:hint="eastAsia"/>
        </w:rPr>
        <w:t>（2）质保金的比例为合同金额的</w:t>
      </w:r>
      <w:r>
        <w:rPr>
          <w:rFonts w:hint="eastAsia"/>
          <w:u w:val="single"/>
        </w:rPr>
        <w:t xml:space="preserve">  </w:t>
      </w:r>
      <w:r>
        <w:rPr>
          <w:rFonts w:hint="eastAsia" w:cs="宋体"/>
          <w:kern w:val="0"/>
          <w:sz w:val="24"/>
          <w:szCs w:val="24"/>
          <w:u w:val="single"/>
          <w:lang w:val="en-US" w:eastAsia="zh-CN" w:bidi="ar-SA"/>
        </w:rPr>
        <w:t>5</w:t>
      </w:r>
      <w:r>
        <w:rPr>
          <w:rFonts w:hint="eastAsia" w:ascii="宋体" w:hAnsi="宋体" w:cs="宋体" w:eastAsiaTheme="minorEastAsia"/>
          <w:kern w:val="0"/>
          <w:sz w:val="24"/>
          <w:szCs w:val="24"/>
          <w:u w:val="single"/>
          <w:lang w:val="en-US" w:eastAsia="zh-CN" w:bidi="ar-SA"/>
        </w:rPr>
        <w:t xml:space="preserve"> %</w:t>
      </w:r>
      <w:r>
        <w:rPr>
          <w:rFonts w:hint="eastAsia"/>
        </w:rPr>
        <w:t>；</w:t>
      </w:r>
    </w:p>
    <w:p>
      <w:pPr>
        <w:pStyle w:val="24"/>
        <w:spacing w:before="0" w:beforeAutospacing="0" w:after="0" w:afterAutospacing="0" w:line="360" w:lineRule="auto"/>
        <w:ind w:firstLine="480"/>
      </w:pPr>
      <w:r>
        <w:rPr>
          <w:rFonts w:hint="eastAsia"/>
        </w:rPr>
        <w:t>（3）质保金支付条件：</w:t>
      </w:r>
      <w:r>
        <w:rPr>
          <w:rFonts w:hint="eastAsia"/>
          <w:u w:val="single"/>
        </w:rPr>
        <w:t>质保期内无任何质量问题，双方无任何遗留问题 ，质保期结束后30天内甲方无息支付</w:t>
      </w:r>
      <w:r>
        <w:rPr>
          <w:rFonts w:hint="eastAsia"/>
        </w:rPr>
        <w:t>。</w:t>
      </w:r>
    </w:p>
    <w:p>
      <w:pPr>
        <w:pStyle w:val="24"/>
        <w:spacing w:before="0" w:beforeAutospacing="0" w:after="0" w:afterAutospacing="0" w:line="360" w:lineRule="auto"/>
        <w:ind w:firstLine="480"/>
      </w:pPr>
      <w:r>
        <w:rPr>
          <w:rFonts w:hint="eastAsia"/>
        </w:rPr>
        <w:t>3.本项目资金支付的方式、时间和条件采用以下第</w:t>
      </w:r>
      <w:r>
        <w:rPr>
          <w:rFonts w:hint="eastAsia"/>
          <w:u w:val="single"/>
        </w:rPr>
        <w:t>（</w:t>
      </w:r>
      <w:r>
        <w:rPr>
          <w:rFonts w:hint="eastAsia"/>
          <w:u w:val="single"/>
          <w:lang w:val="en-US" w:eastAsia="zh-CN"/>
        </w:rPr>
        <w:t>4</w:t>
      </w:r>
      <w:r>
        <w:rPr>
          <w:rFonts w:hint="eastAsia"/>
          <w:u w:val="single"/>
          <w:lang w:eastAsia="zh-CN"/>
        </w:rPr>
        <w:t>）</w:t>
      </w:r>
      <w:r>
        <w:rPr>
          <w:rFonts w:hint="eastAsia"/>
        </w:rPr>
        <w:t>条款规定：</w:t>
      </w:r>
    </w:p>
    <w:bookmarkEnd w:id="396"/>
    <w:bookmarkEnd w:id="397"/>
    <w:bookmarkEnd w:id="398"/>
    <w:p>
      <w:pPr>
        <w:pStyle w:val="24"/>
        <w:spacing w:before="0" w:beforeAutospacing="0" w:after="0" w:afterAutospacing="0" w:line="360" w:lineRule="auto"/>
        <w:ind w:firstLine="480"/>
        <w:rPr>
          <w:u w:val="single"/>
        </w:rPr>
      </w:pPr>
      <w:bookmarkStart w:id="399" w:name="_Toc27250"/>
      <w:bookmarkStart w:id="400" w:name="_Toc19554"/>
      <w:bookmarkStart w:id="401" w:name="_Toc21423"/>
      <w:r>
        <w:rPr>
          <w:rFonts w:hint="eastAsia"/>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pPr>
        <w:pStyle w:val="24"/>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pPr>
        <w:pStyle w:val="24"/>
        <w:spacing w:before="0" w:beforeAutospacing="0" w:after="0" w:afterAutospacing="0" w:line="360" w:lineRule="auto"/>
        <w:ind w:firstLine="480"/>
        <w:rPr>
          <w:rFonts w:hint="eastAsia"/>
          <w:u w:val="single"/>
        </w:rPr>
      </w:pPr>
      <w:r>
        <w:rPr>
          <w:rFonts w:hint="eastAsia"/>
          <w:u w:val="single"/>
        </w:rPr>
        <w:t xml:space="preserve">（3）一次性付款，经甲方验收合格后，甲方收到乙方提供的增值税专用发票后，甲方在本合同约定时间内完成支付全部货款。  </w:t>
      </w:r>
    </w:p>
    <w:p>
      <w:pPr>
        <w:pStyle w:val="24"/>
        <w:spacing w:before="0" w:beforeAutospacing="0" w:after="0" w:afterAutospacing="0" w:line="360" w:lineRule="auto"/>
        <w:ind w:firstLine="480"/>
        <w:rPr>
          <w:rFonts w:hint="eastAsia"/>
        </w:rPr>
      </w:pPr>
      <w:r>
        <w:rPr>
          <w:rFonts w:hint="eastAsia"/>
          <w:u w:val="single"/>
        </w:rPr>
        <w:t>（4）其他付款方式：经甲方验收合格后，甲方收到乙方提供的增值税专用发票后，甲方在本合同约定时间内完成支付</w:t>
      </w:r>
      <w:r>
        <w:rPr>
          <w:rFonts w:hint="eastAsia"/>
          <w:u w:val="single"/>
          <w:lang w:val="en-US" w:eastAsia="zh-CN"/>
        </w:rPr>
        <w:t>95%</w:t>
      </w:r>
      <w:r>
        <w:rPr>
          <w:rFonts w:hint="eastAsia"/>
          <w:u w:val="single"/>
        </w:rPr>
        <w:t xml:space="preserve">货款 </w:t>
      </w:r>
      <w:r>
        <w:rPr>
          <w:rFonts w:hint="eastAsia"/>
          <w:u w:val="single"/>
          <w:lang w:eastAsia="zh-CN"/>
        </w:rPr>
        <w:t>，</w:t>
      </w:r>
      <w:r>
        <w:rPr>
          <w:rFonts w:hint="eastAsia"/>
          <w:u w:val="single"/>
        </w:rPr>
        <w:t>质保期内无任何质量问题，双方无任何遗留问题 ，质保期结束后30天内甲方无息支付</w:t>
      </w:r>
      <w:r>
        <w:rPr>
          <w:rFonts w:hint="eastAsia"/>
          <w:u w:val="single"/>
          <w:lang w:val="en-US" w:eastAsia="zh-CN"/>
        </w:rPr>
        <w:t>5%货款。</w:t>
      </w:r>
      <w:r>
        <w:rPr>
          <w:rFonts w:hint="eastAsia"/>
          <w:u w:val="single"/>
        </w:rPr>
        <w:t xml:space="preserve"> </w:t>
      </w:r>
    </w:p>
    <w:p>
      <w:pPr>
        <w:spacing w:line="360" w:lineRule="auto"/>
        <w:ind w:firstLine="482" w:firstLineChars="200"/>
        <w:outlineLvl w:val="0"/>
        <w:rPr>
          <w:rFonts w:ascii="宋体" w:hAnsi="宋体" w:cs="宋体"/>
          <w:b/>
          <w:sz w:val="24"/>
        </w:rPr>
      </w:pPr>
      <w:r>
        <w:rPr>
          <w:rFonts w:hint="eastAsia" w:ascii="宋体" w:hAnsi="宋体" w:cs="宋体"/>
          <w:b/>
          <w:sz w:val="24"/>
        </w:rPr>
        <w:t>十一、违约责任</w:t>
      </w:r>
      <w:bookmarkEnd w:id="399"/>
      <w:bookmarkEnd w:id="400"/>
      <w:bookmarkEnd w:id="401"/>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rPr>
        <w:t>（□本合同累计已发生金额/</w:t>
      </w:r>
      <w:r>
        <w:rPr>
          <w:rFonts w:hint="eastAsia" w:ascii="宋体" w:hAnsi="宋体" w:cs="宋体"/>
          <w:sz w:val="24"/>
          <w:lang w:eastAsia="zh-CN"/>
        </w:rPr>
        <w:t>☑</w:t>
      </w:r>
      <w:r>
        <w:rPr>
          <w:rFonts w:hint="eastAsia" w:ascii="宋体" w:hAnsi="宋体" w:cs="宋体"/>
          <w:sz w:val="24"/>
        </w:rPr>
        <w:t>合同约定总金额</w:t>
      </w:r>
      <w:r>
        <w:rPr>
          <w:rFonts w:hint="eastAsia" w:ascii="宋体" w:hAnsi="宋体" w:cs="宋体"/>
          <w:sz w:val="24"/>
          <w:lang w:val="en-US" w:eastAsia="zh-CN"/>
        </w:rPr>
        <w:t>/</w:t>
      </w:r>
      <w:r>
        <w:rPr>
          <w:rFonts w:hint="eastAsia" w:ascii="宋体" w:hAnsi="宋体" w:cs="宋体"/>
          <w:sz w:val="24"/>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金甲方有权优先从履约保证金中扣除，不足部分从已供货未结算的货款中扣除；若无履约保证金的，甲方有权直接从已供货未结算的货款中扣除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ascii="宋体" w:hAnsi="宋体" w:cs="宋体"/>
          <w:sz w:val="24"/>
        </w:rPr>
      </w:pPr>
      <w:r>
        <w:rPr>
          <w:rFonts w:hint="eastAsia" w:ascii="宋体" w:hAnsi="宋体" w:cs="宋体"/>
          <w:sz w:val="24"/>
        </w:rPr>
        <w:t>2.除不可抗力外，如果甲方没有按照本合同约定的付款方式付款，那么乙方可要求甲方支付违约金，违约金按每迟延付款一日的应付而未付款的</w:t>
      </w:r>
      <w:r>
        <w:rPr>
          <w:rFonts w:hint="eastAsia" w:ascii="宋体" w:hAnsi="宋体" w:cs="宋体"/>
          <w:b/>
          <w:bCs/>
          <w:sz w:val="24"/>
          <w:u w:val="single"/>
        </w:rPr>
        <w:t xml:space="preserve"> 0.05</w:t>
      </w:r>
      <w:r>
        <w:rPr>
          <w:rFonts w:hint="eastAsia" w:ascii="宋体" w:hAnsi="宋体" w:cs="宋体"/>
          <w:sz w:val="24"/>
          <w:u w:val="single"/>
        </w:rPr>
        <w:t xml:space="preserve">  </w:t>
      </w:r>
      <w:r>
        <w:rPr>
          <w:rFonts w:hint="eastAsia" w:ascii="宋体" w:hAnsi="宋体" w:cs="宋体"/>
          <w:sz w:val="24"/>
        </w:rPr>
        <w:t xml:space="preserve">%计算，迟延付款 </w:t>
      </w:r>
      <w:r>
        <w:rPr>
          <w:rFonts w:hint="eastAsia" w:ascii="宋体" w:hAnsi="宋体" w:cs="宋体"/>
          <w:sz w:val="24"/>
          <w:u w:val="single"/>
        </w:rPr>
        <w:t xml:space="preserve"> </w:t>
      </w:r>
      <w:r>
        <w:rPr>
          <w:rFonts w:hint="eastAsia" w:ascii="宋体" w:hAnsi="宋体" w:cs="宋体"/>
          <w:sz w:val="24"/>
          <w:u w:val="single"/>
          <w:lang w:val="en-US" w:eastAsia="zh-CN"/>
        </w:rPr>
        <w:t xml:space="preserve">30 </w:t>
      </w:r>
      <w:r>
        <w:rPr>
          <w:rFonts w:hint="eastAsia" w:ascii="宋体" w:hAnsi="宋体" w:cs="宋体"/>
          <w:sz w:val="24"/>
        </w:rPr>
        <w:t>天的，乙方有权在要求甲方支付违约金的同时，书面通知甲方解除本合同；</w:t>
      </w:r>
    </w:p>
    <w:p>
      <w:pPr>
        <w:spacing w:line="360" w:lineRule="auto"/>
        <w:ind w:firstLine="480" w:firstLineChars="200"/>
        <w:rPr>
          <w:rFonts w:ascii="宋体" w:hAnsi="宋体" w:cs="宋体"/>
          <w:sz w:val="24"/>
        </w:rPr>
      </w:pPr>
      <w:r>
        <w:rPr>
          <w:rFonts w:hint="eastAsia" w:ascii="宋体" w:hAnsi="宋体" w:cs="宋体"/>
          <w:sz w:val="24"/>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80" w:firstLineChars="200"/>
        <w:rPr>
          <w:rFonts w:ascii="宋体" w:hAnsi="宋体" w:cs="宋体"/>
          <w:sz w:val="24"/>
        </w:rPr>
      </w:pPr>
      <w:r>
        <w:rPr>
          <w:rFonts w:hint="eastAsia" w:ascii="宋体" w:hAnsi="宋体" w:cs="宋体"/>
          <w:sz w:val="24"/>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80" w:firstLineChars="200"/>
        <w:rPr>
          <w:rFonts w:ascii="宋体" w:hAnsi="宋体" w:cs="宋体"/>
          <w:sz w:val="24"/>
        </w:rPr>
      </w:pPr>
      <w:r>
        <w:rPr>
          <w:rFonts w:hint="eastAsia" w:ascii="宋体" w:hAnsi="宋体" w:cs="宋体"/>
          <w:sz w:val="24"/>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pPr>
        <w:spacing w:line="360" w:lineRule="auto"/>
        <w:ind w:right="-420" w:rightChars="-200" w:firstLine="480" w:firstLineChars="200"/>
        <w:rPr>
          <w:rFonts w:ascii="宋体" w:hAnsi="宋体" w:cs="宋体"/>
          <w:sz w:val="24"/>
        </w:rPr>
      </w:pPr>
      <w:r>
        <w:rPr>
          <w:rFonts w:hint="eastAsia" w:ascii="宋体" w:hAnsi="宋体" w:cs="宋体"/>
          <w:sz w:val="24"/>
        </w:rPr>
        <w:t>6.违约责任另有约定具体如下：</w:t>
      </w:r>
    </w:p>
    <w:p>
      <w:pPr>
        <w:spacing w:line="360" w:lineRule="auto"/>
        <w:ind w:right="-420" w:rightChars="-200" w:firstLine="480" w:firstLineChars="200"/>
        <w:rPr>
          <w:rFonts w:ascii="宋体" w:hAnsi="宋体" w:cs="宋体"/>
          <w:sz w:val="24"/>
          <w:u w:val="single"/>
        </w:rPr>
      </w:pPr>
      <w:r>
        <w:rPr>
          <w:rFonts w:hint="eastAsia" w:ascii="宋体" w:hAnsi="宋体" w:cs="宋体"/>
          <w:sz w:val="24"/>
          <w:u w:val="single"/>
        </w:rPr>
        <w:t>（1）乙方交付的货物不符合合同约定或验收不合格的，应当及时更换，因此延误交货期限的，按照逾期交货承担违约责任 ；</w:t>
      </w:r>
    </w:p>
    <w:p>
      <w:pPr>
        <w:spacing w:line="360" w:lineRule="auto"/>
        <w:ind w:firstLine="480" w:firstLineChars="200"/>
        <w:rPr>
          <w:rFonts w:ascii="宋体" w:hAnsi="宋体" w:cs="宋体"/>
          <w:sz w:val="24"/>
          <w:highlight w:val="none"/>
          <w:u w:val="single"/>
        </w:rPr>
      </w:pPr>
      <w:r>
        <w:rPr>
          <w:rFonts w:hint="eastAsia" w:ascii="宋体" w:hAnsi="宋体" w:cs="宋体"/>
          <w:sz w:val="24"/>
          <w:u w:val="single"/>
        </w:rPr>
        <w:t>（2）乙方不履行售后服务义务的，每次应向甲方承担1000元的违约金，且仍应履行售后服务义务；</w:t>
      </w:r>
      <w:r>
        <w:rPr>
          <w:rFonts w:hint="eastAsia" w:ascii="宋体" w:hAnsi="宋体" w:cs="宋体"/>
          <w:sz w:val="24"/>
          <w:highlight w:val="none"/>
          <w:u w:val="single"/>
        </w:rPr>
        <w:t>违约</w:t>
      </w:r>
      <w:r>
        <w:rPr>
          <w:rFonts w:hint="eastAsia" w:ascii="宋体" w:hAnsi="宋体" w:cs="宋体"/>
          <w:sz w:val="24"/>
          <w:highlight w:val="none"/>
          <w:u w:val="single"/>
          <w:lang w:val="en-US" w:eastAsia="zh-CN"/>
        </w:rPr>
        <w:t>金甲方有权优先从履约保证金扣除，不足部分从货款中扣除；若无履约保证金的，甲方有权直接从货款中扣除；</w:t>
      </w:r>
    </w:p>
    <w:p>
      <w:pPr>
        <w:spacing w:line="360" w:lineRule="auto"/>
        <w:ind w:right="-420" w:rightChars="-200" w:firstLine="480" w:firstLineChars="200"/>
        <w:rPr>
          <w:rFonts w:hint="eastAsia" w:ascii="宋体" w:hAnsi="宋体" w:cs="宋体" w:eastAsiaTheme="minorEastAsia"/>
          <w:sz w:val="24"/>
          <w:u w:val="single"/>
          <w:lang w:eastAsia="zh-CN"/>
        </w:rPr>
      </w:pPr>
      <w:r>
        <w:rPr>
          <w:rFonts w:hint="eastAsia" w:ascii="宋体" w:hAnsi="宋体" w:cs="宋体"/>
          <w:sz w:val="24"/>
          <w:u w:val="single"/>
        </w:rPr>
        <w:t>（3）甲方无故拒收货物，乙方有权要求甲方按照合同原价支付货款</w:t>
      </w:r>
      <w:r>
        <w:rPr>
          <w:rFonts w:hint="eastAsia" w:ascii="宋体" w:hAnsi="宋体" w:cs="宋体"/>
          <w:sz w:val="24"/>
          <w:u w:val="single"/>
          <w:lang w:eastAsia="zh-CN"/>
        </w:rPr>
        <w:t>；</w:t>
      </w:r>
    </w:p>
    <w:p>
      <w:pPr>
        <w:spacing w:line="360" w:lineRule="auto"/>
        <w:ind w:right="-420" w:rightChars="-200" w:firstLine="480" w:firstLineChars="200"/>
        <w:rPr>
          <w:rFonts w:hint="eastAsia" w:ascii="宋体" w:hAnsi="宋体" w:cs="宋体"/>
          <w:sz w:val="24"/>
          <w:u w:val="single"/>
        </w:rPr>
      </w:pPr>
      <w:r>
        <w:rPr>
          <w:rFonts w:hint="eastAsia" w:ascii="宋体" w:hAnsi="宋体" w:cs="宋体"/>
          <w:sz w:val="24"/>
          <w:u w:val="single"/>
        </w:rPr>
        <w:t>（4）若质保期内出现质量问题，甲方有权从质保金中扣除违约金，同时乙方应免费维修或更换。</w:t>
      </w:r>
    </w:p>
    <w:p>
      <w:pPr>
        <w:spacing w:line="360" w:lineRule="auto"/>
        <w:ind w:right="-420" w:rightChars="-200" w:firstLine="480" w:firstLineChars="200"/>
        <w:rPr>
          <w:rFonts w:hint="eastAsia" w:ascii="宋体" w:hAnsi="宋体" w:cs="宋体" w:eastAsiaTheme="minorEastAsia"/>
          <w:sz w:val="24"/>
          <w:u w:val="single"/>
          <w:lang w:eastAsia="zh-CN"/>
        </w:rPr>
      </w:pPr>
      <w:r>
        <w:rPr>
          <w:rFonts w:hint="eastAsia" w:ascii="宋体" w:hAnsi="宋体" w:cs="宋体"/>
          <w:sz w:val="24"/>
          <w:u w:val="single"/>
          <w:lang w:eastAsia="zh-CN"/>
        </w:rPr>
        <w:t>（</w:t>
      </w:r>
      <w:r>
        <w:rPr>
          <w:rFonts w:hint="eastAsia" w:ascii="宋体" w:hAnsi="宋体" w:cs="宋体"/>
          <w:sz w:val="24"/>
          <w:u w:val="single"/>
          <w:lang w:val="en-US" w:eastAsia="zh-CN"/>
        </w:rPr>
        <w:t>5</w:t>
      </w:r>
      <w:r>
        <w:rPr>
          <w:rFonts w:hint="eastAsia" w:ascii="宋体" w:hAnsi="宋体" w:cs="宋体"/>
          <w:sz w:val="24"/>
          <w:u w:val="single"/>
          <w:lang w:eastAsia="zh-CN"/>
        </w:rPr>
        <w:t>）在使用乙方提供的货物或者服务过程中，因产品质量或乙方其他问题给机械设备造成故障或货物损坏，由乙方承担甲方的一切损失，包括直接和间接损失。</w:t>
      </w:r>
    </w:p>
    <w:p>
      <w:pPr>
        <w:spacing w:line="360" w:lineRule="auto"/>
        <w:ind w:firstLine="482" w:firstLineChars="200"/>
        <w:outlineLvl w:val="0"/>
        <w:rPr>
          <w:rFonts w:ascii="宋体" w:hAnsi="宋体" w:cs="宋体"/>
          <w:b/>
          <w:sz w:val="24"/>
        </w:rPr>
      </w:pPr>
      <w:bookmarkStart w:id="402" w:name="_Toc16021"/>
      <w:bookmarkStart w:id="403" w:name="_Toc28375"/>
      <w:bookmarkStart w:id="404" w:name="_Toc15583"/>
      <w:r>
        <w:rPr>
          <w:rFonts w:hint="eastAsia" w:ascii="宋体" w:hAnsi="宋体" w:cs="宋体"/>
          <w:b/>
          <w:sz w:val="24"/>
        </w:rPr>
        <w:t>十二、合同争议的解决</w:t>
      </w:r>
      <w:bookmarkEnd w:id="402"/>
      <w:bookmarkEnd w:id="403"/>
      <w:bookmarkEnd w:id="404"/>
    </w:p>
    <w:p>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2  </w:t>
      </w:r>
      <w:r>
        <w:rPr>
          <w:rFonts w:hint="eastAsia" w:ascii="宋体" w:hAnsi="宋体" w:cs="宋体"/>
          <w:sz w:val="24"/>
        </w:rPr>
        <w:t>条款规定的方式解决：</w:t>
      </w:r>
    </w:p>
    <w:p>
      <w:pPr>
        <w:spacing w:line="360" w:lineRule="auto"/>
        <w:ind w:right="-420" w:rightChars="-200" w:firstLine="480" w:firstLineChars="200"/>
        <w:rPr>
          <w:rFonts w:ascii="宋体" w:hAnsi="宋体" w:cs="宋体"/>
          <w:sz w:val="24"/>
        </w:rPr>
      </w:pPr>
      <w:bookmarkStart w:id="405" w:name="_Toc11173"/>
      <w:bookmarkStart w:id="406" w:name="_Toc7245"/>
      <w:bookmarkStart w:id="407" w:name="_Toc15322"/>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pP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5"/>
    <w:bookmarkEnd w:id="406"/>
    <w:bookmarkEnd w:id="407"/>
    <w:p>
      <w:pPr>
        <w:spacing w:line="360" w:lineRule="auto"/>
        <w:ind w:firstLine="482" w:firstLineChars="200"/>
        <w:outlineLvl w:val="0"/>
        <w:rPr>
          <w:rFonts w:ascii="宋体" w:hAnsi="宋体" w:cs="宋体"/>
          <w:b/>
          <w:sz w:val="24"/>
        </w:rPr>
      </w:pPr>
      <w:r>
        <w:rPr>
          <w:rFonts w:hint="eastAsia" w:ascii="宋体" w:hAnsi="宋体" w:cs="宋体"/>
          <w:b/>
          <w:sz w:val="24"/>
        </w:rPr>
        <w:t>十三、合同生效</w:t>
      </w:r>
    </w:p>
    <w:p>
      <w:pPr>
        <w:pStyle w:val="23"/>
        <w:ind w:left="0" w:leftChars="0"/>
        <w:jc w:val="left"/>
        <w:rPr>
          <w:rFonts w:ascii="宋体" w:hAnsi="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w:t>
      </w:r>
      <w:r>
        <w:rPr>
          <w:rFonts w:hint="eastAsia" w:ascii="宋体" w:hAnsi="宋体"/>
          <w:lang w:val="en-US" w:eastAsia="zh-CN"/>
        </w:rPr>
        <w:t>第三章安全协议及</w:t>
      </w:r>
      <w:r>
        <w:rPr>
          <w:rFonts w:hint="eastAsia" w:ascii="宋体" w:hAnsi="宋体"/>
        </w:rPr>
        <w:t>第</w:t>
      </w:r>
      <w:r>
        <w:rPr>
          <w:rFonts w:hint="eastAsia" w:ascii="宋体" w:hAnsi="宋体"/>
          <w:lang w:val="en-US" w:eastAsia="zh-CN"/>
        </w:rPr>
        <w:t>四</w:t>
      </w:r>
      <w:r>
        <w:rPr>
          <w:rFonts w:hint="eastAsia" w:ascii="宋体" w:hAnsi="宋体"/>
        </w:rPr>
        <w:t>章廉洁协议为本合同不可分割的一部分，</w:t>
      </w:r>
      <w:r>
        <w:rPr>
          <w:rFonts w:ascii="宋体" w:hAnsi="宋体"/>
        </w:rPr>
        <w:t>均具有同等法律效力</w:t>
      </w:r>
      <w:r>
        <w:rPr>
          <w:rFonts w:hint="eastAsia" w:ascii="宋体" w:hAnsi="宋体"/>
        </w:rPr>
        <w:t>。</w:t>
      </w:r>
    </w:p>
    <w:p>
      <w:pPr>
        <w:pStyle w:val="23"/>
        <w:ind w:left="0" w:leftChars="0" w:firstLine="0" w:firstLineChars="0"/>
        <w:rPr>
          <w:rFonts w:hint="eastAsia" w:ascii="宋体" w:hAnsi="宋体" w:cs="宋体"/>
          <w:b/>
          <w:szCs w:val="24"/>
          <w:lang w:val="en-US" w:eastAsia="zh-CN"/>
        </w:rPr>
      </w:pPr>
      <w:r>
        <w:rPr>
          <w:rFonts w:hint="eastAsia" w:ascii="宋体" w:hAnsi="宋体" w:cs="宋体"/>
          <w:b/>
          <w:szCs w:val="24"/>
          <w:lang w:val="en-US" w:eastAsia="zh-CN"/>
        </w:rPr>
        <w:t xml:space="preserve"> </w:t>
      </w:r>
    </w:p>
    <w:p>
      <w:pPr>
        <w:pStyle w:val="7"/>
        <w:ind w:left="0" w:leftChars="0" w:firstLine="0" w:firstLineChars="0"/>
        <w:rPr>
          <w:rFonts w:ascii="宋体" w:hAnsi="宋体" w:cs="宋体"/>
          <w:b/>
          <w:szCs w:val="24"/>
        </w:rPr>
      </w:pPr>
    </w:p>
    <w:p>
      <w:pPr>
        <w:pStyle w:val="7"/>
        <w:ind w:left="0" w:leftChars="0" w:firstLine="0" w:firstLineChars="0"/>
        <w:rPr>
          <w:rFonts w:ascii="宋体" w:hAnsi="宋体" w:cs="宋体"/>
          <w:b/>
          <w:szCs w:val="24"/>
        </w:rPr>
      </w:pPr>
    </w:p>
    <w:p>
      <w:pPr>
        <w:pStyle w:val="7"/>
        <w:ind w:left="0" w:leftChars="0" w:firstLine="0" w:firstLineChars="0"/>
        <w:rPr>
          <w:rFonts w:ascii="宋体" w:hAnsi="宋体" w:cs="宋体"/>
          <w:b/>
          <w:szCs w:val="24"/>
        </w:rPr>
      </w:pPr>
    </w:p>
    <w:p>
      <w:pPr>
        <w:pStyle w:val="7"/>
        <w:ind w:left="0" w:leftChars="0" w:firstLine="0" w:firstLineChars="0"/>
        <w:rPr>
          <w:rFonts w:ascii="宋体" w:hAnsi="宋体" w:cs="宋体"/>
          <w:b/>
          <w:szCs w:val="24"/>
        </w:rPr>
      </w:pPr>
    </w:p>
    <w:p>
      <w:pPr>
        <w:pStyle w:val="7"/>
        <w:ind w:left="0" w:leftChars="0" w:firstLine="0" w:firstLineChars="0"/>
        <w:rPr>
          <w:rFonts w:ascii="宋体" w:hAnsi="宋体" w:cs="宋体"/>
          <w:b/>
          <w:szCs w:val="24"/>
        </w:rPr>
      </w:pPr>
    </w:p>
    <w:p>
      <w:pPr>
        <w:pStyle w:val="7"/>
        <w:ind w:left="0" w:leftChars="0" w:firstLine="0" w:firstLineChars="0"/>
        <w:rPr>
          <w:rFonts w:ascii="宋体" w:hAnsi="宋体" w:cs="宋体"/>
          <w:b/>
          <w:szCs w:val="24"/>
        </w:rPr>
      </w:pPr>
    </w:p>
    <w:p>
      <w:pPr>
        <w:pStyle w:val="7"/>
        <w:ind w:left="0" w:leftChars="0" w:firstLine="0" w:firstLineChars="0"/>
        <w:rPr>
          <w:rFonts w:ascii="宋体" w:hAnsi="宋体" w:cs="宋体"/>
          <w:b/>
          <w:szCs w:val="24"/>
        </w:rPr>
      </w:pPr>
    </w:p>
    <w:p>
      <w:pPr>
        <w:pStyle w:val="23"/>
        <w:ind w:left="0" w:leftChars="0" w:firstLine="0" w:firstLineChars="0"/>
        <w:jc w:val="center"/>
        <w:rPr>
          <w:rFonts w:ascii="宋体" w:hAnsi="宋体" w:cs="宋体"/>
          <w:b/>
          <w:szCs w:val="24"/>
        </w:rPr>
      </w:pPr>
      <w:r>
        <w:rPr>
          <w:rFonts w:hint="eastAsia" w:ascii="宋体" w:hAnsi="宋体" w:cs="宋体"/>
          <w:b/>
          <w:szCs w:val="24"/>
        </w:rPr>
        <w:t>第二章 合同一般条款</w:t>
      </w:r>
    </w:p>
    <w:p>
      <w:pPr>
        <w:spacing w:line="360" w:lineRule="auto"/>
        <w:ind w:firstLine="482" w:firstLineChars="200"/>
        <w:outlineLvl w:val="0"/>
        <w:rPr>
          <w:rFonts w:ascii="宋体" w:hAnsi="宋体" w:cs="宋体"/>
          <w:b/>
          <w:sz w:val="24"/>
        </w:rPr>
      </w:pPr>
      <w:bookmarkStart w:id="408" w:name="_Ref467378499"/>
      <w:bookmarkStart w:id="409" w:name="_Toc279701240"/>
      <w:bookmarkStart w:id="410" w:name="_Ref467379225"/>
      <w:bookmarkStart w:id="411" w:name="_Toc19614"/>
      <w:bookmarkStart w:id="412" w:name="_Ref467379205"/>
      <w:bookmarkStart w:id="413" w:name="_Ref467379214"/>
      <w:bookmarkStart w:id="414" w:name="_Ref467378463"/>
      <w:bookmarkStart w:id="415" w:name="_Toc28763"/>
      <w:bookmarkStart w:id="416" w:name="_Ref467379101"/>
      <w:bookmarkStart w:id="417" w:name="_Toc16917"/>
      <w:bookmarkStart w:id="418" w:name="_Ref467378404"/>
      <w:bookmarkStart w:id="419" w:name="_Ref467379109"/>
      <w:bookmarkStart w:id="420" w:name="_Ref467379094"/>
      <w:bookmarkStart w:id="421" w:name="_Toc487900349"/>
      <w:bookmarkStart w:id="422" w:name="_Ref467379195"/>
      <w:bookmarkStart w:id="423" w:name="_Toc259093669"/>
      <w:r>
        <w:rPr>
          <w:rFonts w:hint="eastAsia" w:ascii="宋体" w:hAnsi="宋体" w:cs="宋体"/>
          <w:b/>
          <w:sz w:val="24"/>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pP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pP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pP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pPr>
        <w:spacing w:line="360" w:lineRule="auto"/>
        <w:ind w:firstLine="480" w:firstLineChars="200"/>
        <w:rPr>
          <w:rFonts w:ascii="宋体" w:hAnsi="宋体" w:cs="宋体"/>
          <w:sz w:val="24"/>
        </w:rPr>
      </w:pPr>
      <w:bookmarkStart w:id="424" w:name="_Ref467378840"/>
      <w:r>
        <w:rPr>
          <w:rFonts w:hint="eastAsia" w:ascii="宋体" w:hAnsi="宋体" w:cs="宋体"/>
          <w:sz w:val="24"/>
        </w:rPr>
        <w:t>4. “甲方”系指与中标或成交供应商签署合同的采购人</w:t>
      </w:r>
      <w:bookmarkEnd w:id="424"/>
      <w:r>
        <w:rPr>
          <w:rFonts w:hint="eastAsia" w:ascii="宋体" w:hAnsi="宋体" w:cs="宋体"/>
          <w:sz w:val="24"/>
        </w:rPr>
        <w:t>；采购人委托采购代理机构代表其与乙方签订合同的，采购人的授权委托书作为合同附件。</w:t>
      </w:r>
    </w:p>
    <w:p>
      <w:pPr>
        <w:spacing w:line="360" w:lineRule="auto"/>
        <w:ind w:firstLine="480" w:firstLineChars="200"/>
        <w:rPr>
          <w:rFonts w:ascii="宋体" w:hAnsi="宋体" w:cs="宋体"/>
          <w:sz w:val="24"/>
        </w:rPr>
      </w:pPr>
      <w:bookmarkStart w:id="425" w:name="_Ref467379400"/>
      <w:r>
        <w:rPr>
          <w:rFonts w:hint="eastAsia" w:ascii="宋体" w:hAnsi="宋体" w:cs="宋体"/>
          <w:sz w:val="24"/>
        </w:rPr>
        <w:t>5.“乙方”系指根据合同约定交付货物的中标或成交供应商</w:t>
      </w:r>
      <w:bookmarkEnd w:id="425"/>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360" w:lineRule="auto"/>
        <w:ind w:firstLine="480" w:firstLineChars="200"/>
        <w:rPr>
          <w:rFonts w:ascii="宋体" w:hAnsi="宋体" w:cs="宋体"/>
          <w:sz w:val="24"/>
        </w:rPr>
      </w:pPr>
      <w:bookmarkStart w:id="426" w:name="_Ref467379436"/>
      <w:r>
        <w:rPr>
          <w:rFonts w:hint="eastAsia" w:ascii="宋体" w:hAnsi="宋体" w:cs="宋体"/>
          <w:sz w:val="24"/>
        </w:rPr>
        <w:t>6.“现场”系指合同约定货物将要运至或者安装的地点。</w:t>
      </w:r>
      <w:bookmarkEnd w:id="426"/>
    </w:p>
    <w:p>
      <w:pPr>
        <w:spacing w:line="360" w:lineRule="auto"/>
        <w:ind w:firstLine="482" w:firstLineChars="200"/>
        <w:outlineLvl w:val="0"/>
        <w:rPr>
          <w:rFonts w:ascii="宋体" w:hAnsi="宋体" w:cs="宋体"/>
          <w:b/>
          <w:sz w:val="24"/>
        </w:rPr>
      </w:pPr>
      <w:bookmarkStart w:id="427" w:name="_Toc27635"/>
      <w:bookmarkStart w:id="428" w:name="_Toc259093670"/>
      <w:bookmarkStart w:id="429" w:name="_Toc487900350"/>
      <w:bookmarkStart w:id="430" w:name="_Toc32504"/>
      <w:bookmarkStart w:id="431" w:name="_Toc279701241"/>
      <w:bookmarkStart w:id="432" w:name="_Toc13336"/>
      <w:r>
        <w:rPr>
          <w:rFonts w:hint="eastAsia" w:ascii="宋体" w:hAnsi="宋体" w:cs="宋体"/>
          <w:b/>
          <w:sz w:val="24"/>
        </w:rPr>
        <w:t>二、技术规范</w:t>
      </w:r>
      <w:bookmarkEnd w:id="427"/>
      <w:bookmarkEnd w:id="428"/>
      <w:bookmarkEnd w:id="429"/>
      <w:bookmarkEnd w:id="430"/>
      <w:bookmarkEnd w:id="431"/>
      <w:bookmarkEnd w:id="432"/>
    </w:p>
    <w:p>
      <w:pP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w:t>
      </w:r>
      <w:r>
        <w:rPr>
          <w:rFonts w:hint="eastAsia" w:ascii="宋体" w:hAnsi="宋体" w:cs="宋体"/>
          <w:sz w:val="24"/>
          <w:lang w:eastAsia="zh-CN"/>
        </w:rPr>
        <w:t>（</w:t>
      </w:r>
      <w:r>
        <w:rPr>
          <w:rFonts w:hint="eastAsia" w:ascii="宋体" w:hAnsi="宋体" w:cs="宋体"/>
          <w:sz w:val="24"/>
        </w:rPr>
        <w:t>如果有的话</w:t>
      </w:r>
      <w:r>
        <w:rPr>
          <w:rFonts w:hint="eastAsia" w:ascii="宋体" w:hAnsi="宋体" w:cs="宋体"/>
          <w:sz w:val="24"/>
          <w:lang w:eastAsia="zh-CN"/>
        </w:rPr>
        <w:t>）</w:t>
      </w:r>
      <w:r>
        <w:rPr>
          <w:rFonts w:hint="eastAsia" w:ascii="宋体" w:hAnsi="宋体" w:cs="宋体"/>
          <w:sz w:val="24"/>
        </w:rPr>
        <w:t>及其技术规范偏差表</w:t>
      </w:r>
      <w:r>
        <w:rPr>
          <w:rFonts w:hint="eastAsia" w:ascii="宋体" w:hAnsi="宋体" w:cs="宋体"/>
          <w:sz w:val="24"/>
          <w:lang w:eastAsia="zh-CN"/>
        </w:rPr>
        <w:t>（</w:t>
      </w:r>
      <w:r>
        <w:rPr>
          <w:rFonts w:hint="eastAsia" w:ascii="宋体" w:hAnsi="宋体" w:cs="宋体"/>
          <w:sz w:val="24"/>
        </w:rPr>
        <w:t>如果被甲方接受的话</w:t>
      </w:r>
      <w:r>
        <w:rPr>
          <w:rFonts w:hint="eastAsia" w:ascii="宋体" w:hAnsi="宋体" w:cs="宋体"/>
          <w:sz w:val="24"/>
          <w:lang w:eastAsia="zh-CN"/>
        </w:rPr>
        <w:t>）</w:t>
      </w:r>
      <w:r>
        <w:rPr>
          <w:rFonts w:hint="eastAsia" w:ascii="宋体" w:hAnsi="宋体" w:cs="宋体"/>
          <w:sz w:val="24"/>
        </w:rPr>
        <w:t>相一致；如果采购文件中没有技术规范的相应说明，那么应以国家有关部门最新颁布的相应标准和规范为准。</w:t>
      </w:r>
    </w:p>
    <w:p>
      <w:pPr>
        <w:spacing w:line="360" w:lineRule="auto"/>
        <w:ind w:firstLine="482" w:firstLineChars="200"/>
        <w:outlineLvl w:val="0"/>
        <w:rPr>
          <w:rFonts w:ascii="宋体" w:hAnsi="宋体" w:cs="宋体"/>
          <w:b/>
          <w:sz w:val="24"/>
        </w:rPr>
      </w:pPr>
      <w:bookmarkStart w:id="433" w:name="_Toc9829"/>
      <w:bookmarkStart w:id="434" w:name="_Toc259093671"/>
      <w:bookmarkStart w:id="435" w:name="_Toc31634"/>
      <w:bookmarkStart w:id="436" w:name="_Toc279701242"/>
      <w:bookmarkStart w:id="437" w:name="_Toc487900351"/>
      <w:bookmarkStart w:id="438" w:name="_Toc27853"/>
      <w:r>
        <w:rPr>
          <w:rFonts w:hint="eastAsia" w:ascii="宋体" w:hAnsi="宋体" w:cs="宋体"/>
          <w:b/>
          <w:sz w:val="24"/>
        </w:rPr>
        <w:t>三、知识产权</w:t>
      </w:r>
      <w:bookmarkEnd w:id="433"/>
      <w:bookmarkEnd w:id="434"/>
      <w:bookmarkEnd w:id="435"/>
      <w:bookmarkEnd w:id="436"/>
      <w:bookmarkEnd w:id="437"/>
      <w:bookmarkEnd w:id="438"/>
    </w:p>
    <w:p>
      <w:pP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pP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pPr>
        <w:spacing w:line="360" w:lineRule="auto"/>
        <w:ind w:firstLine="482" w:firstLineChars="200"/>
        <w:outlineLvl w:val="0"/>
        <w:rPr>
          <w:rFonts w:ascii="宋体" w:hAnsi="宋体" w:eastAsia="宋体" w:cs="宋体"/>
          <w:b/>
          <w:sz w:val="24"/>
        </w:rPr>
      </w:pPr>
      <w:bookmarkStart w:id="439" w:name="_Toc4194"/>
      <w:bookmarkStart w:id="440" w:name="_Toc29149"/>
      <w:bookmarkStart w:id="441" w:name="_Toc11932"/>
      <w:r>
        <w:rPr>
          <w:rFonts w:hint="eastAsia" w:ascii="宋体" w:hAnsi="宋体" w:cs="宋体"/>
          <w:b/>
          <w:sz w:val="24"/>
        </w:rPr>
        <w:t>四、装运包装</w:t>
      </w:r>
      <w:bookmarkEnd w:id="439"/>
      <w:bookmarkEnd w:id="440"/>
      <w:bookmarkEnd w:id="441"/>
      <w:r>
        <w:rPr>
          <w:rFonts w:hint="eastAsia" w:ascii="宋体" w:hAnsi="宋体" w:cs="宋体"/>
          <w:b/>
          <w:sz w:val="24"/>
        </w:rPr>
        <w:t>及交付要求</w:t>
      </w:r>
    </w:p>
    <w:p>
      <w:pPr>
        <w:spacing w:line="360" w:lineRule="auto"/>
        <w:ind w:firstLine="480" w:firstLineChars="200"/>
        <w:rPr>
          <w:rFonts w:ascii="宋体" w:hAnsi="宋体" w:cs="宋体"/>
          <w:sz w:val="24"/>
        </w:rPr>
      </w:pPr>
      <w:r>
        <w:rPr>
          <w:rFonts w:hint="eastAsia" w:ascii="宋体" w:hAnsi="宋体" w:cs="宋体"/>
          <w:sz w:val="24"/>
        </w:rPr>
        <w:t>1.除另有约定外</w:t>
      </w:r>
      <w:r>
        <w:rPr>
          <w:rFonts w:hint="eastAsia" w:ascii="宋体" w:hAnsi="宋体" w:cs="宋体"/>
          <w:sz w:val="24"/>
          <w:lang w:eastAsia="zh-CN"/>
        </w:rPr>
        <w:t>，</w:t>
      </w:r>
      <w:r>
        <w:rPr>
          <w:rFonts w:hint="eastAsia" w:ascii="宋体" w:hAnsi="宋体" w:cs="宋体"/>
          <w:sz w:val="24"/>
        </w:rPr>
        <w:t>乙方交付的全部货物</w:t>
      </w:r>
      <w:r>
        <w:rPr>
          <w:rFonts w:hint="eastAsia" w:ascii="宋体" w:hAnsi="宋体" w:cs="宋体"/>
          <w:sz w:val="24"/>
          <w:lang w:eastAsia="zh-CN"/>
        </w:rPr>
        <w:t>，</w:t>
      </w:r>
      <w:r>
        <w:rPr>
          <w:rFonts w:hint="eastAsia" w:ascii="宋体" w:hAnsi="宋体" w:cs="宋体"/>
          <w:sz w:val="24"/>
        </w:rPr>
        <w:t>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pP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pP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pP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pP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pP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pPr>
        <w:spacing w:line="360" w:lineRule="auto"/>
        <w:ind w:firstLine="482" w:firstLineChars="200"/>
        <w:outlineLvl w:val="0"/>
        <w:rPr>
          <w:rFonts w:ascii="宋体" w:hAnsi="宋体" w:cs="宋体"/>
          <w:b/>
          <w:sz w:val="24"/>
        </w:rPr>
      </w:pPr>
      <w:bookmarkStart w:id="442" w:name="_Toc19074"/>
      <w:bookmarkStart w:id="443" w:name="_Toc26182"/>
      <w:bookmarkStart w:id="444" w:name="_Toc30272"/>
      <w:r>
        <w:rPr>
          <w:rFonts w:hint="eastAsia" w:ascii="宋体" w:hAnsi="宋体" w:cs="宋体"/>
          <w:b/>
          <w:sz w:val="24"/>
        </w:rPr>
        <w:t>五、 履约检查和问题反馈</w:t>
      </w:r>
      <w:bookmarkEnd w:id="442"/>
      <w:bookmarkEnd w:id="443"/>
      <w:bookmarkEnd w:id="444"/>
    </w:p>
    <w:p>
      <w:pPr>
        <w:spacing w:line="360" w:lineRule="auto"/>
        <w:ind w:firstLine="480" w:firstLineChars="200"/>
        <w:rPr>
          <w:rFonts w:ascii="宋体" w:hAnsi="宋体" w:cs="宋体"/>
          <w:sz w:val="24"/>
        </w:rPr>
      </w:pPr>
      <w:bookmarkStart w:id="445" w:name="_Toc186431854"/>
      <w:bookmarkStart w:id="446" w:name="_Ref467379807"/>
      <w:bookmarkStart w:id="447" w:name="_Toc279701247"/>
      <w:bookmarkStart w:id="448" w:name="_Ref467379793"/>
      <w:bookmarkStart w:id="449" w:name="_Toc259093676"/>
      <w:bookmarkStart w:id="450" w:name="_Toc487900357"/>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pP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rPr>
        <w:t>。</w:t>
      </w:r>
    </w:p>
    <w:bookmarkEnd w:id="446"/>
    <w:bookmarkEnd w:id="447"/>
    <w:bookmarkEnd w:id="448"/>
    <w:bookmarkEnd w:id="449"/>
    <w:bookmarkEnd w:id="450"/>
    <w:bookmarkEnd w:id="451"/>
    <w:p>
      <w:pPr>
        <w:spacing w:line="360" w:lineRule="auto"/>
        <w:ind w:firstLine="482" w:firstLineChars="200"/>
        <w:outlineLvl w:val="0"/>
        <w:rPr>
          <w:rFonts w:ascii="宋体" w:hAnsi="宋体" w:cs="宋体"/>
          <w:b/>
          <w:sz w:val="24"/>
        </w:rPr>
      </w:pPr>
      <w:bookmarkStart w:id="452" w:name="_Ref467379923"/>
      <w:bookmarkStart w:id="453" w:name="_Toc259093677"/>
      <w:bookmarkStart w:id="454" w:name="_Toc487900358"/>
      <w:bookmarkStart w:id="455" w:name="_Ref467379863"/>
      <w:bookmarkStart w:id="456" w:name="_Toc279701248"/>
      <w:bookmarkStart w:id="457" w:name="_Ref467379852"/>
      <w:bookmarkStart w:id="458" w:name="_Toc16110"/>
      <w:bookmarkStart w:id="459" w:name="_Toc3225"/>
      <w:bookmarkStart w:id="460" w:name="_Toc774"/>
      <w:r>
        <w:rPr>
          <w:rFonts w:hint="eastAsia" w:ascii="宋体" w:hAnsi="宋体" w:cs="宋体"/>
          <w:b/>
          <w:sz w:val="24"/>
        </w:rPr>
        <w:t>六、技术资料</w:t>
      </w:r>
      <w:bookmarkEnd w:id="452"/>
      <w:bookmarkEnd w:id="453"/>
      <w:bookmarkEnd w:id="454"/>
      <w:bookmarkEnd w:id="455"/>
      <w:bookmarkEnd w:id="456"/>
      <w:bookmarkEnd w:id="457"/>
      <w:r>
        <w:rPr>
          <w:rFonts w:hint="eastAsia" w:ascii="宋体" w:hAnsi="宋体" w:cs="宋体"/>
          <w:b/>
          <w:sz w:val="24"/>
        </w:rPr>
        <w:t>和保密义务</w:t>
      </w:r>
      <w:bookmarkEnd w:id="458"/>
      <w:bookmarkEnd w:id="459"/>
      <w:bookmarkEnd w:id="460"/>
    </w:p>
    <w:p>
      <w:pP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pP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pP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pacing w:line="360" w:lineRule="auto"/>
        <w:ind w:firstLine="482" w:firstLineChars="200"/>
        <w:outlineLvl w:val="0"/>
        <w:rPr>
          <w:rFonts w:ascii="宋体" w:hAnsi="宋体" w:cs="宋体"/>
          <w:b/>
          <w:sz w:val="24"/>
        </w:rPr>
      </w:pPr>
      <w:bookmarkStart w:id="461" w:name="_Toc7860"/>
      <w:r>
        <w:rPr>
          <w:rFonts w:hint="eastAsia" w:ascii="宋体" w:hAnsi="宋体" w:cs="宋体"/>
          <w:b/>
          <w:sz w:val="24"/>
        </w:rPr>
        <w:t>七、质量保证</w:t>
      </w:r>
      <w:bookmarkEnd w:id="461"/>
    </w:p>
    <w:p>
      <w:pP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pPr>
        <w:spacing w:line="360" w:lineRule="auto"/>
        <w:ind w:firstLine="482" w:firstLineChars="200"/>
        <w:outlineLvl w:val="0"/>
        <w:rPr>
          <w:rFonts w:ascii="宋体" w:hAnsi="宋体" w:cs="宋体"/>
          <w:b/>
          <w:sz w:val="24"/>
        </w:rPr>
      </w:pPr>
      <w:bookmarkStart w:id="462" w:name="_Toc17244"/>
      <w:bookmarkStart w:id="463" w:name="_Toc279701252"/>
      <w:bookmarkStart w:id="464" w:name="_Toc487900362"/>
      <w:bookmarkStart w:id="465" w:name="_Toc259093681"/>
      <w:r>
        <w:rPr>
          <w:rFonts w:hint="eastAsia" w:ascii="宋体" w:hAnsi="宋体" w:cs="宋体"/>
          <w:b/>
          <w:sz w:val="24"/>
        </w:rPr>
        <w:t>八、货物的风险负担</w:t>
      </w:r>
      <w:bookmarkEnd w:id="462"/>
    </w:p>
    <w:p>
      <w:pP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pPr>
        <w:spacing w:line="360" w:lineRule="auto"/>
        <w:ind w:firstLine="482" w:firstLineChars="200"/>
        <w:outlineLvl w:val="0"/>
        <w:rPr>
          <w:rFonts w:ascii="宋体" w:hAnsi="宋体" w:cs="宋体"/>
          <w:b/>
          <w:sz w:val="24"/>
        </w:rPr>
      </w:pPr>
      <w:bookmarkStart w:id="466" w:name="_Toc14055"/>
      <w:r>
        <w:rPr>
          <w:rFonts w:hint="eastAsia" w:ascii="宋体" w:hAnsi="宋体" w:cs="宋体"/>
          <w:b/>
          <w:sz w:val="24"/>
        </w:rPr>
        <w:t>九、延迟交货</w:t>
      </w:r>
      <w:bookmarkEnd w:id="463"/>
      <w:bookmarkEnd w:id="464"/>
      <w:bookmarkEnd w:id="465"/>
      <w:bookmarkEnd w:id="466"/>
    </w:p>
    <w:p>
      <w:pP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pPr>
        <w:spacing w:line="360" w:lineRule="auto"/>
        <w:ind w:firstLine="482" w:firstLineChars="200"/>
        <w:outlineLvl w:val="0"/>
        <w:rPr>
          <w:rFonts w:ascii="宋体" w:hAnsi="宋体" w:eastAsia="宋体" w:cs="宋体"/>
          <w:b/>
          <w:sz w:val="24"/>
        </w:rPr>
      </w:pPr>
      <w:bookmarkStart w:id="467" w:name="_Toc7502"/>
      <w:bookmarkStart w:id="468" w:name="_Ref467378121"/>
      <w:bookmarkStart w:id="469" w:name="_Toc487900364"/>
      <w:bookmarkStart w:id="470" w:name="_Toc259093683"/>
      <w:bookmarkStart w:id="471" w:name="_Toc279701254"/>
      <w:r>
        <w:rPr>
          <w:rFonts w:hint="eastAsia" w:ascii="宋体" w:hAnsi="宋体" w:cs="宋体"/>
          <w:b/>
          <w:sz w:val="24"/>
        </w:rPr>
        <w:t>十、合同变更</w:t>
      </w:r>
      <w:bookmarkEnd w:id="467"/>
      <w:r>
        <w:rPr>
          <w:rFonts w:hint="eastAsia" w:ascii="宋体" w:hAnsi="宋体" w:cs="宋体"/>
          <w:b/>
          <w:sz w:val="24"/>
        </w:rPr>
        <w:t>或补充</w:t>
      </w:r>
    </w:p>
    <w:p>
      <w:pPr>
        <w:spacing w:line="360" w:lineRule="auto"/>
        <w:ind w:firstLine="480" w:firstLineChars="200"/>
        <w:rPr>
          <w:rFonts w:ascii="宋体" w:hAnsi="宋体"/>
          <w:sz w:val="24"/>
        </w:rPr>
      </w:pPr>
      <w:bookmarkStart w:id="472" w:name="_Toc279701259"/>
      <w:bookmarkStart w:id="473" w:name="_Toc487900369"/>
      <w:bookmarkStart w:id="474" w:name="_Toc259093688"/>
      <w:bookmarkStart w:id="475" w:name="_Toc22955"/>
      <w:bookmarkStart w:id="476" w:name="_Toc10366"/>
      <w:bookmarkStart w:id="477" w:name="_Toc15237"/>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pP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pP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pPr>
        <w:spacing w:line="360" w:lineRule="auto"/>
        <w:ind w:firstLine="482" w:firstLineChars="200"/>
        <w:outlineLvl w:val="0"/>
        <w:rPr>
          <w:rFonts w:ascii="宋体" w:hAnsi="宋体" w:cs="宋体"/>
          <w:b/>
          <w:sz w:val="24"/>
        </w:rPr>
      </w:pPr>
      <w:r>
        <w:rPr>
          <w:rFonts w:hint="eastAsia" w:ascii="宋体" w:hAnsi="宋体" w:cs="宋体"/>
          <w:b/>
          <w:sz w:val="24"/>
        </w:rPr>
        <w:t>十一、 合同转让</w:t>
      </w:r>
      <w:bookmarkEnd w:id="472"/>
      <w:bookmarkEnd w:id="473"/>
      <w:bookmarkEnd w:id="474"/>
      <w:r>
        <w:rPr>
          <w:rFonts w:hint="eastAsia" w:ascii="宋体" w:hAnsi="宋体" w:cs="宋体"/>
          <w:b/>
          <w:sz w:val="24"/>
        </w:rPr>
        <w:t>和分包</w:t>
      </w:r>
      <w:bookmarkEnd w:id="475"/>
      <w:bookmarkEnd w:id="476"/>
      <w:bookmarkEnd w:id="477"/>
    </w:p>
    <w:p>
      <w:pP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pPr>
        <w:spacing w:line="360" w:lineRule="auto"/>
        <w:ind w:firstLine="482" w:firstLineChars="200"/>
        <w:outlineLvl w:val="0"/>
        <w:rPr>
          <w:rFonts w:ascii="宋体" w:hAnsi="宋体" w:cs="宋体"/>
          <w:b/>
          <w:sz w:val="24"/>
        </w:rPr>
      </w:pPr>
      <w:bookmarkStart w:id="478" w:name="_Toc13566"/>
      <w:bookmarkStart w:id="479" w:name="_Toc16508"/>
      <w:bookmarkStart w:id="480" w:name="_Toc14066"/>
      <w:r>
        <w:rPr>
          <w:rFonts w:hint="eastAsia" w:ascii="宋体" w:hAnsi="宋体" w:cs="宋体"/>
          <w:b/>
          <w:sz w:val="24"/>
        </w:rPr>
        <w:t>十二、不可抗力</w:t>
      </w:r>
      <w:bookmarkEnd w:id="478"/>
      <w:bookmarkEnd w:id="479"/>
      <w:bookmarkEnd w:id="480"/>
    </w:p>
    <w:p>
      <w:pPr>
        <w:spacing w:line="360" w:lineRule="auto"/>
        <w:ind w:firstLine="480" w:firstLineChars="200"/>
        <w:rPr>
          <w:rFonts w:ascii="宋体" w:hAnsi="宋体"/>
          <w:sz w:val="24"/>
        </w:rPr>
      </w:pPr>
      <w:bookmarkStart w:id="481" w:name="_Toc6969"/>
      <w:bookmarkStart w:id="482" w:name="_Toc279701255"/>
      <w:bookmarkStart w:id="483" w:name="_Toc689"/>
      <w:bookmarkStart w:id="484" w:name="_Toc30676"/>
      <w:bookmarkStart w:id="485" w:name="_Toc259093684"/>
      <w:bookmarkStart w:id="486" w:name="_Toc487900365"/>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pP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pPr>
        <w:spacing w:line="360" w:lineRule="auto"/>
        <w:ind w:firstLine="482" w:firstLineChars="200"/>
        <w:outlineLvl w:val="0"/>
        <w:rPr>
          <w:rFonts w:ascii="宋体" w:hAnsi="宋体" w:cs="宋体"/>
          <w:b/>
          <w:sz w:val="24"/>
        </w:rPr>
      </w:pPr>
      <w:r>
        <w:rPr>
          <w:rFonts w:hint="eastAsia" w:ascii="宋体" w:hAnsi="宋体" w:cs="宋体"/>
          <w:b/>
          <w:sz w:val="24"/>
        </w:rPr>
        <w:t>十三、 税费</w:t>
      </w:r>
      <w:bookmarkEnd w:id="481"/>
      <w:bookmarkEnd w:id="482"/>
      <w:bookmarkEnd w:id="483"/>
      <w:bookmarkEnd w:id="484"/>
      <w:bookmarkEnd w:id="485"/>
      <w:bookmarkEnd w:id="486"/>
    </w:p>
    <w:p>
      <w:pP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pPr>
        <w:spacing w:line="360" w:lineRule="auto"/>
        <w:ind w:firstLine="482" w:firstLineChars="200"/>
        <w:outlineLvl w:val="0"/>
        <w:rPr>
          <w:rFonts w:ascii="宋体" w:hAnsi="宋体" w:cs="宋体"/>
          <w:b/>
          <w:sz w:val="24"/>
        </w:rPr>
      </w:pPr>
      <w:bookmarkStart w:id="487" w:name="_Toc8298"/>
      <w:bookmarkStart w:id="488" w:name="_Toc7102"/>
      <w:bookmarkStart w:id="489" w:name="_Toc279701258"/>
      <w:bookmarkStart w:id="490" w:name="_Toc259093687"/>
      <w:bookmarkStart w:id="491" w:name="_Toc16959"/>
      <w:bookmarkStart w:id="492" w:name="_Toc487900368"/>
      <w:r>
        <w:rPr>
          <w:rFonts w:hint="eastAsia" w:ascii="宋体" w:hAnsi="宋体" w:cs="宋体"/>
          <w:b/>
          <w:sz w:val="24"/>
        </w:rPr>
        <w:t>十四、乙方破产</w:t>
      </w:r>
      <w:bookmarkEnd w:id="487"/>
      <w:bookmarkEnd w:id="488"/>
      <w:bookmarkEnd w:id="489"/>
      <w:bookmarkEnd w:id="490"/>
      <w:bookmarkEnd w:id="491"/>
      <w:bookmarkEnd w:id="492"/>
    </w:p>
    <w:p>
      <w:pP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pacing w:line="360" w:lineRule="auto"/>
        <w:ind w:firstLine="482" w:firstLineChars="200"/>
        <w:outlineLvl w:val="0"/>
        <w:rPr>
          <w:rFonts w:ascii="宋体" w:hAnsi="宋体" w:cs="宋体"/>
          <w:b/>
          <w:sz w:val="24"/>
        </w:rPr>
      </w:pPr>
      <w:bookmarkStart w:id="493" w:name="_Toc6134"/>
      <w:bookmarkStart w:id="494" w:name="_Toc15387"/>
      <w:bookmarkStart w:id="495" w:name="_Toc29333"/>
      <w:r>
        <w:rPr>
          <w:rFonts w:hint="eastAsia" w:ascii="宋体" w:hAnsi="宋体" w:cs="宋体"/>
          <w:b/>
          <w:sz w:val="24"/>
        </w:rPr>
        <w:t>十五、合同中止、终止</w:t>
      </w:r>
      <w:bookmarkEnd w:id="493"/>
      <w:bookmarkEnd w:id="494"/>
      <w:bookmarkEnd w:id="495"/>
    </w:p>
    <w:p>
      <w:pP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pP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pPr>
        <w:spacing w:line="360" w:lineRule="auto"/>
        <w:ind w:firstLine="480" w:firstLineChars="200"/>
        <w:rPr>
          <w:rFonts w:ascii="宋体" w:hAnsi="宋体" w:cs="宋体"/>
          <w:sz w:val="24"/>
        </w:rPr>
      </w:pPr>
      <w:r>
        <w:rPr>
          <w:rFonts w:hint="eastAsia" w:ascii="宋体" w:hAnsi="宋体" w:cs="宋体"/>
          <w:sz w:val="24"/>
        </w:rPr>
        <w:t>3.合同到期后，自动终止合同；</w:t>
      </w:r>
    </w:p>
    <w:p>
      <w:pPr>
        <w:spacing w:line="360" w:lineRule="auto"/>
        <w:ind w:firstLine="480" w:firstLineChars="200"/>
        <w:rPr>
          <w:rFonts w:ascii="宋体" w:hAnsi="宋体" w:cs="宋体"/>
          <w:sz w:val="24"/>
        </w:rPr>
      </w:pPr>
      <w:r>
        <w:rPr>
          <w:rFonts w:hint="eastAsia" w:ascii="宋体" w:hAnsi="宋体" w:cs="宋体"/>
          <w:sz w:val="24"/>
        </w:rPr>
        <w:t>4.乙方完成合同约定内容</w:t>
      </w:r>
      <w:r>
        <w:rPr>
          <w:rFonts w:hint="eastAsia" w:ascii="宋体" w:hAnsi="宋体" w:cs="宋体"/>
          <w:sz w:val="24"/>
          <w:highlight w:val="none"/>
          <w:lang w:val="en-US" w:eastAsia="zh-CN"/>
        </w:rPr>
        <w:t>或者履约金额达到</w:t>
      </w:r>
      <w:r>
        <w:rPr>
          <w:rFonts w:hint="eastAsia" w:ascii="宋体" w:hAnsi="宋体" w:cs="宋体"/>
          <w:sz w:val="24"/>
          <w:highlight w:val="none"/>
        </w:rPr>
        <w:t>合同总金额</w:t>
      </w:r>
      <w:r>
        <w:rPr>
          <w:rFonts w:hint="eastAsia" w:ascii="宋体" w:hAnsi="宋体" w:cs="宋体"/>
          <w:sz w:val="24"/>
          <w:highlight w:val="none"/>
          <w:lang w:val="en-US" w:eastAsia="zh-CN"/>
        </w:rPr>
        <w:t>的</w:t>
      </w:r>
      <w:r>
        <w:rPr>
          <w:rFonts w:hint="eastAsia" w:ascii="宋体" w:hAnsi="宋体" w:cs="宋体"/>
          <w:sz w:val="24"/>
          <w:highlight w:val="none"/>
        </w:rPr>
        <w:t>，</w:t>
      </w:r>
      <w:r>
        <w:rPr>
          <w:rFonts w:hint="eastAsia" w:ascii="宋体" w:hAnsi="宋体" w:cs="宋体"/>
          <w:sz w:val="24"/>
        </w:rPr>
        <w:t>自动终止合同；若在合同有效期之前完成的，提前终止合同，无须再另行签订终止补充协议，甲方按合同约定要求及时退还乙方履约保证金。</w:t>
      </w:r>
    </w:p>
    <w:p>
      <w:pP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68"/>
    <w:bookmarkEnd w:id="469"/>
    <w:bookmarkEnd w:id="470"/>
    <w:bookmarkEnd w:id="471"/>
    <w:p>
      <w:pPr>
        <w:spacing w:line="360" w:lineRule="auto"/>
        <w:ind w:firstLine="482" w:firstLineChars="200"/>
        <w:outlineLvl w:val="0"/>
        <w:rPr>
          <w:rFonts w:ascii="宋体" w:hAnsi="宋体" w:cs="宋体"/>
          <w:b/>
          <w:sz w:val="24"/>
        </w:rPr>
      </w:pPr>
      <w:bookmarkStart w:id="496" w:name="_Toc279701261"/>
      <w:bookmarkStart w:id="497" w:name="_Toc259093690"/>
      <w:bookmarkStart w:id="498" w:name="_Toc487900371"/>
      <w:bookmarkStart w:id="499" w:name="_Toc11284"/>
      <w:bookmarkStart w:id="500" w:name="_Toc25182"/>
      <w:bookmarkStart w:id="501" w:name="_Toc19604"/>
      <w:r>
        <w:rPr>
          <w:rFonts w:hint="eastAsia" w:ascii="宋体" w:hAnsi="宋体" w:cs="宋体"/>
          <w:b/>
          <w:sz w:val="24"/>
        </w:rPr>
        <w:t>十六、 通知</w:t>
      </w:r>
      <w:bookmarkEnd w:id="496"/>
      <w:bookmarkEnd w:id="497"/>
      <w:bookmarkEnd w:id="498"/>
      <w:r>
        <w:rPr>
          <w:rFonts w:hint="eastAsia" w:ascii="宋体" w:hAnsi="宋体" w:cs="宋体"/>
          <w:b/>
          <w:sz w:val="24"/>
        </w:rPr>
        <w:t>和送达</w:t>
      </w:r>
      <w:bookmarkEnd w:id="499"/>
      <w:bookmarkEnd w:id="500"/>
      <w:bookmarkEnd w:id="501"/>
    </w:p>
    <w:p>
      <w:pPr>
        <w:spacing w:line="360" w:lineRule="auto"/>
        <w:ind w:firstLine="480" w:firstLineChars="200"/>
        <w:rPr>
          <w:rFonts w:ascii="宋体" w:hAnsi="宋体"/>
          <w:sz w:val="24"/>
        </w:rPr>
      </w:pPr>
      <w:bookmarkStart w:id="502" w:name="_Toc18401"/>
      <w:bookmarkStart w:id="503" w:name="_Toc27674"/>
      <w:bookmarkStart w:id="504" w:name="_Toc30599"/>
      <w:bookmarkStart w:id="505" w:name="_Toc259093691"/>
      <w:bookmarkStart w:id="506" w:name="_Toc487900372"/>
      <w:bookmarkStart w:id="507" w:name="_Toc4355"/>
      <w:bookmarkStart w:id="508" w:name="_Toc279701262"/>
      <w:bookmarkStart w:id="509" w:name="_Toc18540"/>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2"/>
      <w:bookmarkEnd w:id="503"/>
    </w:p>
    <w:p>
      <w:pPr>
        <w:spacing w:line="360" w:lineRule="auto"/>
        <w:ind w:firstLine="482" w:firstLineChars="200"/>
        <w:outlineLvl w:val="0"/>
        <w:rPr>
          <w:rFonts w:ascii="宋体" w:hAnsi="宋体" w:cs="宋体"/>
          <w:b/>
          <w:sz w:val="24"/>
        </w:rPr>
      </w:pPr>
      <w:r>
        <w:rPr>
          <w:rFonts w:hint="eastAsia" w:ascii="宋体" w:hAnsi="宋体" w:cs="宋体"/>
          <w:b/>
          <w:sz w:val="24"/>
        </w:rPr>
        <w:t>十七、 计量单位</w:t>
      </w:r>
      <w:bookmarkEnd w:id="504"/>
      <w:bookmarkEnd w:id="505"/>
      <w:bookmarkEnd w:id="506"/>
      <w:bookmarkEnd w:id="507"/>
      <w:bookmarkEnd w:id="508"/>
      <w:bookmarkEnd w:id="509"/>
    </w:p>
    <w:p>
      <w:pPr>
        <w:spacing w:line="360" w:lineRule="auto"/>
        <w:ind w:firstLine="480" w:firstLineChars="200"/>
        <w:rPr>
          <w:rFonts w:ascii="宋体" w:hAnsi="宋体" w:cs="宋体"/>
          <w:sz w:val="24"/>
        </w:rPr>
      </w:pPr>
      <w:r>
        <w:rPr>
          <w:rFonts w:hint="eastAsia" w:ascii="宋体" w:hAnsi="宋体" w:cs="宋体"/>
          <w:sz w:val="24"/>
        </w:rPr>
        <w:t>除技术规范中另有规定外</w:t>
      </w:r>
      <w:r>
        <w:rPr>
          <w:rFonts w:hint="eastAsia" w:ascii="宋体" w:hAnsi="宋体" w:cs="宋体"/>
          <w:sz w:val="24"/>
          <w:lang w:eastAsia="zh-CN"/>
        </w:rPr>
        <w:t>，</w:t>
      </w:r>
      <w:r>
        <w:rPr>
          <w:rFonts w:hint="eastAsia" w:ascii="宋体" w:hAnsi="宋体" w:cs="宋体"/>
          <w:sz w:val="24"/>
        </w:rPr>
        <w:t>合同的计量单位均使用国家法定计量单位。</w:t>
      </w:r>
    </w:p>
    <w:p>
      <w:pPr>
        <w:spacing w:line="360" w:lineRule="auto"/>
        <w:ind w:firstLine="482" w:firstLineChars="200"/>
        <w:outlineLvl w:val="0"/>
        <w:rPr>
          <w:rFonts w:ascii="宋体" w:hAnsi="宋体" w:cs="宋体"/>
          <w:b/>
          <w:sz w:val="24"/>
        </w:rPr>
      </w:pPr>
      <w:bookmarkStart w:id="510" w:name="_Toc279701263"/>
      <w:bookmarkStart w:id="511" w:name="_Toc18567"/>
      <w:bookmarkStart w:id="512" w:name="_Toc487900373"/>
      <w:bookmarkStart w:id="513" w:name="_Toc10330"/>
      <w:bookmarkStart w:id="514" w:name="_Toc12773"/>
      <w:bookmarkStart w:id="515" w:name="_Toc259093692"/>
      <w:r>
        <w:rPr>
          <w:rFonts w:hint="eastAsia" w:ascii="宋体" w:hAnsi="宋体" w:cs="宋体"/>
          <w:b/>
          <w:sz w:val="24"/>
        </w:rPr>
        <w:t>十八、合同使用的文字和适用的法律</w:t>
      </w:r>
      <w:bookmarkEnd w:id="510"/>
      <w:bookmarkEnd w:id="511"/>
      <w:bookmarkEnd w:id="512"/>
      <w:bookmarkEnd w:id="513"/>
      <w:bookmarkEnd w:id="514"/>
      <w:bookmarkEnd w:id="515"/>
    </w:p>
    <w:p>
      <w:pP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pPr>
        <w:spacing w:line="360" w:lineRule="auto"/>
        <w:ind w:firstLine="480" w:firstLineChars="200"/>
        <w:rPr>
          <w:rFonts w:ascii="宋体" w:hAnsi="宋体" w:cs="宋体"/>
          <w:sz w:val="24"/>
        </w:rPr>
      </w:pPr>
      <w:r>
        <w:rPr>
          <w:rFonts w:hint="eastAsia" w:ascii="宋体" w:hAnsi="宋体" w:cs="宋体"/>
          <w:sz w:val="24"/>
        </w:rPr>
        <w:t>2.合同适用中华人民共和国法律。</w:t>
      </w:r>
    </w:p>
    <w:p>
      <w:pPr>
        <w:spacing w:line="360" w:lineRule="auto"/>
        <w:ind w:firstLine="482" w:firstLineChars="200"/>
        <w:outlineLvl w:val="0"/>
        <w:rPr>
          <w:rFonts w:ascii="宋体" w:hAnsi="宋体"/>
          <w:b/>
          <w:sz w:val="24"/>
        </w:rPr>
      </w:pPr>
      <w:r>
        <w:rPr>
          <w:rFonts w:hint="eastAsia" w:ascii="宋体" w:hAnsi="宋体"/>
          <w:b/>
          <w:sz w:val="24"/>
        </w:rPr>
        <w:t>十九、特别提示</w:t>
      </w:r>
    </w:p>
    <w:p>
      <w:pPr>
        <w:spacing w:line="360" w:lineRule="auto"/>
        <w:ind w:firstLine="482" w:firstLineChars="200"/>
        <w:rPr>
          <w:rFonts w:hint="eastAsia" w:ascii="Arial" w:hAnsi="Arial" w:cs="Arial"/>
          <w:sz w:val="32"/>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pPr>
        <w:jc w:val="center"/>
        <w:rPr>
          <w:rFonts w:ascii="宋体" w:hAnsi="宋体" w:eastAsia="宋体" w:cs="Times New Roman"/>
          <w:b/>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乙方：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统一社会信用代码：</w:t>
            </w:r>
          </w:p>
          <w:p>
            <w:pPr>
              <w:spacing w:line="360" w:lineRule="auto"/>
              <w:rPr>
                <w:rFonts w:hint="eastAsia" w:ascii="宋体" w:hAnsi="宋体" w:eastAsia="宋体" w:cs="Times New Roman"/>
                <w:sz w:val="24"/>
                <w:lang w:val="zh-CN"/>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pPr>
        <w:jc w:val="center"/>
        <w:rPr>
          <w:rFonts w:ascii="宋体" w:hAnsi="宋体" w:eastAsia="宋体" w:cs="Times New Roman"/>
          <w:b/>
        </w:rPr>
      </w:pPr>
    </w:p>
    <w:p>
      <w:pPr>
        <w:jc w:val="center"/>
        <w:rPr>
          <w:rFonts w:ascii="宋体" w:hAnsi="宋体" w:eastAsia="宋体" w:cs="Times New Roman"/>
          <w:b/>
        </w:rPr>
      </w:pPr>
    </w:p>
    <w:p>
      <w:pPr>
        <w:pStyle w:val="23"/>
        <w:spacing w:line="560" w:lineRule="exact"/>
        <w:ind w:left="0" w:leftChars="0" w:firstLine="0" w:firstLineChars="0"/>
        <w:jc w:val="both"/>
        <w:rPr>
          <w:rFonts w:hAnsi="宋体" w:cs="宋体"/>
          <w:color w:val="auto"/>
          <w:sz w:val="24"/>
        </w:rPr>
      </w:pPr>
      <w:r>
        <w:rPr>
          <w:rFonts w:hint="eastAsia" w:ascii="宋体" w:hAnsi="宋体" w:cs="宋体"/>
          <w:kern w:val="0"/>
        </w:rPr>
        <w:br w:type="page"/>
      </w:r>
    </w:p>
    <w:p>
      <w:pPr>
        <w:pStyle w:val="23"/>
        <w:spacing w:line="560" w:lineRule="exact"/>
        <w:ind w:left="0" w:leftChars="0" w:firstLine="0" w:firstLineChars="0"/>
        <w:jc w:val="center"/>
        <w:rPr>
          <w:rFonts w:hint="eastAsia" w:ascii="宋体" w:hAnsi="宋体"/>
          <w:b/>
          <w:szCs w:val="24"/>
        </w:rPr>
      </w:pPr>
      <w:r>
        <w:rPr>
          <w:rFonts w:hint="eastAsia" w:ascii="宋体" w:hAnsi="宋体"/>
          <w:b/>
          <w:szCs w:val="24"/>
        </w:rPr>
        <w:t>第三章  安全协议</w:t>
      </w:r>
    </w:p>
    <w:p>
      <w:pPr>
        <w:widowControl/>
        <w:spacing w:line="360" w:lineRule="auto"/>
        <w:jc w:val="left"/>
        <w:rPr>
          <w:rFonts w:hint="eastAsia" w:ascii="宋体" w:hAnsi="宋体" w:cs="宋体"/>
          <w:sz w:val="24"/>
        </w:rPr>
      </w:pPr>
      <w:r>
        <w:rPr>
          <w:rFonts w:hint="eastAsia" w:ascii="宋体" w:hAnsi="宋体" w:cs="宋体"/>
          <w:kern w:val="0"/>
          <w:sz w:val="24"/>
          <w:lang w:bidi="ar"/>
        </w:rPr>
        <w:t>发包单位：</w:t>
      </w:r>
      <w:r>
        <w:rPr>
          <w:rFonts w:hint="eastAsia" w:ascii="宋体" w:hAnsi="宋体" w:cs="宋体"/>
          <w:kern w:val="0"/>
          <w:sz w:val="24"/>
          <w:u w:val="single"/>
          <w:lang w:bidi="ar"/>
        </w:rPr>
        <w:t>杭州临江环境能源有限公司</w:t>
      </w:r>
      <w:r>
        <w:rPr>
          <w:rFonts w:hint="eastAsia" w:ascii="宋体" w:hAnsi="宋体" w:cs="宋体"/>
          <w:kern w:val="0"/>
          <w:sz w:val="24"/>
          <w:lang w:bidi="ar"/>
        </w:rPr>
        <w:t xml:space="preserve">（简称甲方） </w:t>
      </w:r>
    </w:p>
    <w:p>
      <w:pPr>
        <w:widowControl/>
        <w:spacing w:line="360" w:lineRule="auto"/>
        <w:jc w:val="left"/>
        <w:rPr>
          <w:rFonts w:hint="eastAsia" w:ascii="宋体" w:hAnsi="宋体" w:cs="宋体"/>
          <w:sz w:val="24"/>
        </w:rPr>
      </w:pPr>
      <w:r>
        <w:rPr>
          <w:rFonts w:hint="eastAsia" w:ascii="宋体" w:hAnsi="宋体" w:cs="宋体"/>
          <w:kern w:val="0"/>
          <w:sz w:val="24"/>
          <w:lang w:bidi="ar"/>
        </w:rPr>
        <w:t>承包单位：</w:t>
      </w:r>
      <w:r>
        <w:rPr>
          <w:rFonts w:hint="eastAsia" w:ascii="宋体" w:hAnsi="宋体" w:cs="宋体"/>
          <w:kern w:val="0"/>
          <w:sz w:val="24"/>
          <w:u w:val="single"/>
          <w:lang w:eastAsia="zh-CN" w:bidi="ar"/>
        </w:rPr>
        <w:t xml:space="preserve">  </w:t>
      </w:r>
      <w:r>
        <w:rPr>
          <w:rFonts w:hint="eastAsia" w:ascii="宋体" w:hAnsi="宋体" w:cs="宋体"/>
          <w:kern w:val="0"/>
          <w:sz w:val="24"/>
          <w:u w:val="single"/>
          <w:lang w:bidi="ar"/>
        </w:rPr>
        <w:t xml:space="preserve">  </w:t>
      </w:r>
      <w:r>
        <w:rPr>
          <w:rFonts w:hint="eastAsia" w:ascii="宋体" w:hAnsi="宋体" w:cs="宋体"/>
          <w:kern w:val="0"/>
          <w:sz w:val="24"/>
          <w:u w:val="single"/>
          <w:lang w:val="en-US" w:eastAsia="zh-CN" w:bidi="ar"/>
        </w:rPr>
        <w:t xml:space="preserve">                   </w:t>
      </w:r>
      <w:r>
        <w:rPr>
          <w:rFonts w:hint="eastAsia" w:ascii="宋体" w:hAnsi="宋体" w:cs="宋体"/>
          <w:kern w:val="0"/>
          <w:sz w:val="24"/>
          <w:u w:val="single"/>
          <w:lang w:bidi="ar"/>
        </w:rPr>
        <w:t xml:space="preserve"> </w:t>
      </w:r>
      <w:r>
        <w:rPr>
          <w:rFonts w:hint="eastAsia" w:ascii="宋体" w:hAnsi="宋体" w:cs="宋体"/>
          <w:kern w:val="0"/>
          <w:sz w:val="24"/>
          <w:lang w:bidi="ar"/>
        </w:rPr>
        <w:t xml:space="preserve">（简称乙方）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甲方将</w:t>
      </w:r>
      <w:r>
        <w:rPr>
          <w:rFonts w:hint="eastAsia" w:ascii="宋体" w:hAnsi="宋体" w:cs="宋体"/>
          <w:sz w:val="24"/>
          <w:u w:val="single"/>
          <w:lang w:eastAsia="zh-CN"/>
        </w:rPr>
        <w:t>2024年临江公司碱液脱酸系统备件采购项目</w:t>
      </w:r>
      <w:r>
        <w:rPr>
          <w:rFonts w:hint="eastAsia" w:ascii="宋体" w:hAnsi="宋体" w:cs="宋体"/>
          <w:kern w:val="0"/>
          <w:sz w:val="24"/>
          <w:u w:val="single"/>
          <w:lang w:bidi="ar"/>
        </w:rPr>
        <w:t xml:space="preserve"> </w:t>
      </w:r>
      <w:r>
        <w:rPr>
          <w:rFonts w:hint="eastAsia" w:ascii="宋体" w:hAnsi="宋体" w:cs="宋体"/>
          <w:kern w:val="0"/>
          <w:sz w:val="24"/>
          <w:lang w:bidi="ar"/>
        </w:rPr>
        <w:t xml:space="preserve">委托给乙方承包，为全面落实安全生产管理工作，贯彻“安全第一，预防为主，综合治理”的方针，根据国家有关法规、地方政府有关规定，明确双方的安全环保责任，加强对承包单位的管理，维护生产区域正常的生产和工作秩序，保证安全生产，以确保服务安全，经双方协商达成一致特签订如下条款，双方必须共同遵守执行。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一、服务项目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1.项目名称： </w:t>
      </w:r>
      <w:r>
        <w:rPr>
          <w:rFonts w:hint="eastAsia" w:ascii="宋体" w:hAnsi="宋体" w:cs="宋体"/>
          <w:kern w:val="0"/>
          <w:sz w:val="24"/>
          <w:u w:val="single"/>
          <w:lang w:eastAsia="zh-CN" w:bidi="ar"/>
        </w:rPr>
        <w:t>2024年临江公司碱液脱酸系统备件采购项目</w:t>
      </w:r>
      <w:r>
        <w:rPr>
          <w:rFonts w:hint="eastAsia" w:ascii="宋体" w:hAnsi="宋体" w:cs="宋体"/>
          <w:kern w:val="0"/>
          <w:sz w:val="24"/>
          <w:u w:val="single"/>
          <w:lang w:bidi="ar"/>
        </w:rPr>
        <w:t xml:space="preserve">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2.项目地址：位于浙江省杭州钱塘区临江街道杭州临江环境能源有限公司厂区内。 </w:t>
      </w:r>
    </w:p>
    <w:p>
      <w:pPr>
        <w:spacing w:line="360" w:lineRule="auto"/>
        <w:ind w:firstLine="602" w:firstLineChars="250"/>
        <w:rPr>
          <w:rFonts w:hint="eastAsia" w:ascii="宋体" w:hAnsi="宋体" w:cs="宋体"/>
          <w:b/>
          <w:sz w:val="24"/>
        </w:rPr>
      </w:pPr>
      <w:r>
        <w:rPr>
          <w:rFonts w:hint="eastAsia" w:ascii="宋体" w:hAnsi="宋体" w:cs="宋体"/>
          <w:b/>
          <w:sz w:val="24"/>
        </w:rPr>
        <w:t>二、甲方职责</w:t>
      </w:r>
    </w:p>
    <w:p>
      <w:pPr>
        <w:spacing w:line="360" w:lineRule="auto"/>
        <w:ind w:firstLine="480" w:firstLineChars="200"/>
        <w:rPr>
          <w:rFonts w:hint="eastAsia" w:ascii="宋体" w:hAnsi="宋体" w:cs="宋体"/>
          <w:sz w:val="24"/>
        </w:rPr>
      </w:pPr>
      <w:r>
        <w:rPr>
          <w:rFonts w:hint="eastAsia" w:ascii="宋体" w:hAnsi="宋体" w:cs="宋体"/>
          <w:sz w:val="24"/>
        </w:rPr>
        <w:t>1.甲方对乙方资质进行审查，确保符合要求，并为乙方正常服务场所工作提供便利，</w:t>
      </w:r>
      <w:r>
        <w:rPr>
          <w:rFonts w:hint="eastAsia" w:ascii="宋体" w:hAnsi="宋体" w:cs="宋体"/>
          <w:sz w:val="24"/>
          <w:u w:val="single"/>
        </w:rPr>
        <w:t xml:space="preserve">    </w:t>
      </w:r>
      <w:r>
        <w:rPr>
          <w:rFonts w:hint="eastAsia" w:ascii="宋体" w:hAnsi="宋体" w:cs="宋体"/>
          <w:sz w:val="24"/>
          <w:u w:val="single"/>
          <w:lang w:eastAsia="zh-CN"/>
        </w:rPr>
        <w:t xml:space="preserve">   </w:t>
      </w:r>
      <w:r>
        <w:rPr>
          <w:rFonts w:hint="eastAsia" w:ascii="宋体" w:hAnsi="宋体" w:cs="宋体"/>
          <w:sz w:val="24"/>
          <w:u w:val="single"/>
        </w:rPr>
        <w:t xml:space="preserve">    </w:t>
      </w:r>
      <w:r>
        <w:rPr>
          <w:rFonts w:hint="eastAsia" w:ascii="宋体" w:hAnsi="宋体" w:cs="宋体"/>
          <w:sz w:val="24"/>
        </w:rPr>
        <w:t>项目实施前就各实施区域的现状及周边情况向乙方进行交底。如：实施项目周边的电缆线、消防管道及排水沟及周边车辆行驶情况等。</w:t>
      </w:r>
    </w:p>
    <w:p>
      <w:pPr>
        <w:spacing w:line="360" w:lineRule="auto"/>
        <w:ind w:firstLine="480" w:firstLineChars="200"/>
        <w:rPr>
          <w:rFonts w:hint="eastAsia" w:ascii="宋体" w:hAnsi="宋体" w:cs="宋体"/>
          <w:sz w:val="24"/>
        </w:rPr>
      </w:pPr>
      <w:r>
        <w:rPr>
          <w:rFonts w:hint="eastAsia" w:ascii="宋体" w:hAnsi="宋体" w:cs="宋体"/>
          <w:sz w:val="24"/>
        </w:rPr>
        <w:t>2.为本项目指定专人负责具体的联系沟通工作。</w:t>
      </w:r>
    </w:p>
    <w:p>
      <w:pPr>
        <w:spacing w:line="360" w:lineRule="auto"/>
        <w:ind w:firstLine="480" w:firstLineChars="200"/>
        <w:rPr>
          <w:rFonts w:hint="eastAsia" w:ascii="宋体" w:hAnsi="宋体" w:cs="宋体"/>
          <w:sz w:val="24"/>
        </w:rPr>
      </w:pPr>
      <w:r>
        <w:rPr>
          <w:rFonts w:hint="eastAsia" w:ascii="宋体" w:hAnsi="宋体" w:cs="宋体"/>
          <w:sz w:val="24"/>
        </w:rPr>
        <w:t>3.做好与本项目有关的其他各级单位的沟通协调工作。</w:t>
      </w:r>
    </w:p>
    <w:p>
      <w:pPr>
        <w:spacing w:line="360" w:lineRule="auto"/>
        <w:ind w:firstLine="482" w:firstLineChars="200"/>
        <w:rPr>
          <w:rFonts w:hint="eastAsia" w:ascii="宋体" w:hAnsi="宋体" w:cs="宋体"/>
          <w:b/>
          <w:sz w:val="24"/>
        </w:rPr>
      </w:pPr>
      <w:r>
        <w:rPr>
          <w:rFonts w:hint="eastAsia" w:ascii="宋体" w:hAnsi="宋体" w:cs="宋体"/>
          <w:b/>
          <w:sz w:val="24"/>
        </w:rPr>
        <w:t>三、乙方职责</w:t>
      </w:r>
    </w:p>
    <w:p>
      <w:pPr>
        <w:spacing w:line="360" w:lineRule="auto"/>
        <w:ind w:firstLine="480" w:firstLineChars="200"/>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乙方应落实</w:t>
      </w:r>
      <w:r>
        <w:rPr>
          <w:rFonts w:hint="eastAsia" w:ascii="宋体" w:hAnsi="宋体" w:cs="宋体"/>
          <w:sz w:val="24"/>
        </w:rPr>
        <w:t>安全管理人员</w:t>
      </w:r>
      <w:r>
        <w:rPr>
          <w:rFonts w:hint="eastAsia" w:ascii="宋体" w:hAnsi="宋体" w:cs="宋体"/>
          <w:sz w:val="24"/>
          <w:lang w:val="en-US" w:eastAsia="zh-CN"/>
        </w:rPr>
        <w:t>和安全管理措施</w:t>
      </w:r>
      <w:r>
        <w:rPr>
          <w:rFonts w:hint="eastAsia" w:ascii="宋体" w:hAnsi="宋体" w:cs="宋体"/>
          <w:sz w:val="24"/>
        </w:rPr>
        <w:t>。</w:t>
      </w:r>
    </w:p>
    <w:p>
      <w:pPr>
        <w:spacing w:line="360" w:lineRule="auto"/>
        <w:ind w:firstLine="480" w:firstLineChars="200"/>
        <w:rPr>
          <w:rFonts w:hint="eastAsia" w:ascii="宋体" w:hAnsi="宋体" w:cs="宋体"/>
          <w:sz w:val="24"/>
        </w:rPr>
      </w:pPr>
      <w:r>
        <w:rPr>
          <w:rFonts w:hint="eastAsia" w:ascii="宋体" w:hAnsi="宋体" w:cs="宋体"/>
          <w:sz w:val="24"/>
        </w:rPr>
        <w:t>2.乙方在项目服务期间，必须对工作人员进行安全生产教育，落实安全技术交底工作，确保各类专业技术人员持证上岗。</w:t>
      </w:r>
    </w:p>
    <w:p>
      <w:pPr>
        <w:spacing w:line="360" w:lineRule="auto"/>
        <w:ind w:firstLine="480" w:firstLineChars="200"/>
        <w:rPr>
          <w:rFonts w:hint="eastAsia" w:ascii="宋体" w:hAnsi="宋体" w:cs="宋体"/>
          <w:sz w:val="24"/>
        </w:rPr>
      </w:pPr>
      <w:r>
        <w:rPr>
          <w:rFonts w:hint="eastAsia" w:ascii="宋体" w:hAnsi="宋体" w:cs="宋体"/>
          <w:sz w:val="24"/>
        </w:rPr>
        <w:t>3.乙方应遵守甲方相关的安全生产管理制度，在禁烟区内严禁吸烟以及擅自动用各类明火（动用需经审批），并在现场设置灭火器材及警示标识。</w:t>
      </w:r>
    </w:p>
    <w:p>
      <w:pPr>
        <w:spacing w:line="360" w:lineRule="auto"/>
        <w:ind w:firstLine="480" w:firstLineChars="200"/>
        <w:rPr>
          <w:rFonts w:hint="eastAsia" w:ascii="宋体" w:hAnsi="宋体" w:cs="宋体"/>
          <w:sz w:val="24"/>
        </w:rPr>
      </w:pPr>
      <w:r>
        <w:rPr>
          <w:rFonts w:hint="eastAsia" w:ascii="宋体" w:hAnsi="宋体" w:cs="宋体"/>
          <w:sz w:val="24"/>
        </w:rPr>
        <w:t>4.乙方在项目服务期间应严格按照用电规范要求，严禁私拉乱接电线，各类电器、照明设备必须使用防爆产品或设置防爆装置。</w:t>
      </w:r>
    </w:p>
    <w:p>
      <w:pPr>
        <w:spacing w:line="360" w:lineRule="auto"/>
        <w:ind w:firstLine="480" w:firstLineChars="200"/>
        <w:rPr>
          <w:rFonts w:hint="eastAsia" w:ascii="宋体" w:hAnsi="宋体" w:cs="宋体"/>
          <w:sz w:val="24"/>
        </w:rPr>
      </w:pPr>
      <w:r>
        <w:rPr>
          <w:rFonts w:hint="eastAsia" w:ascii="宋体" w:hAnsi="宋体" w:cs="宋体"/>
          <w:sz w:val="24"/>
        </w:rPr>
        <w:t>5.乙方内部要建立安全生产检查制度、落实自查自检，按“定人、定时间、定措施”的隐患整改原则，消除现场不安全因素。</w:t>
      </w:r>
    </w:p>
    <w:p>
      <w:pPr>
        <w:spacing w:line="360" w:lineRule="auto"/>
        <w:ind w:firstLine="480" w:firstLineChars="200"/>
        <w:rPr>
          <w:rFonts w:hint="eastAsia" w:ascii="宋体" w:hAnsi="宋体" w:cs="宋体"/>
          <w:sz w:val="24"/>
        </w:rPr>
      </w:pPr>
      <w:r>
        <w:rPr>
          <w:rFonts w:hint="eastAsia" w:ascii="宋体" w:hAnsi="宋体" w:cs="宋体"/>
          <w:sz w:val="24"/>
        </w:rPr>
        <w:t>6．安全、规范、文明、科学作业，不损坏甲方的地上地下各类设施，确保项目实施区域安全有序。</w:t>
      </w:r>
    </w:p>
    <w:p>
      <w:pPr>
        <w:spacing w:line="360" w:lineRule="auto"/>
        <w:ind w:firstLine="480" w:firstLineChars="200"/>
        <w:rPr>
          <w:rFonts w:hint="eastAsia" w:ascii="宋体" w:hAnsi="宋体" w:cs="宋体"/>
          <w:sz w:val="24"/>
        </w:rPr>
      </w:pPr>
      <w:r>
        <w:rPr>
          <w:rFonts w:hint="eastAsia" w:ascii="宋体" w:hAnsi="宋体" w:cs="宋体"/>
          <w:sz w:val="24"/>
        </w:rPr>
        <w:t>7.接受甲方的监督检查。</w:t>
      </w:r>
    </w:p>
    <w:p>
      <w:pPr>
        <w:spacing w:line="360" w:lineRule="auto"/>
        <w:ind w:firstLine="482" w:firstLineChars="200"/>
        <w:rPr>
          <w:rFonts w:hint="eastAsia" w:ascii="宋体" w:hAnsi="宋体" w:cs="宋体"/>
          <w:sz w:val="24"/>
        </w:rPr>
      </w:pPr>
      <w:r>
        <w:rPr>
          <w:rFonts w:hint="eastAsia" w:ascii="宋体" w:hAnsi="宋体" w:cs="宋体"/>
          <w:b/>
          <w:sz w:val="24"/>
        </w:rPr>
        <w:t>四、违约责任</w:t>
      </w:r>
    </w:p>
    <w:p>
      <w:pPr>
        <w:spacing w:line="360" w:lineRule="auto"/>
        <w:ind w:firstLine="480" w:firstLineChars="200"/>
        <w:rPr>
          <w:rFonts w:hint="eastAsia" w:ascii="宋体" w:hAnsi="宋体" w:cs="宋体"/>
          <w:sz w:val="24"/>
        </w:rPr>
      </w:pPr>
      <w:r>
        <w:rPr>
          <w:rFonts w:hint="eastAsia" w:ascii="宋体" w:hAnsi="宋体" w:cs="宋体"/>
          <w:sz w:val="24"/>
        </w:rPr>
        <w:t>1.在项目服务过程中，乙方必须做到安全生产，并服从甲方管理人员的调度指挥，有下列行为的，乙方扣罚履约保证金500-1000元/次：</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1 \* GB3 </w:instrText>
      </w:r>
      <w:r>
        <w:rPr>
          <w:rFonts w:hint="eastAsia" w:ascii="宋体" w:hAnsi="宋体" w:cs="宋体"/>
          <w:sz w:val="24"/>
        </w:rPr>
        <w:fldChar w:fldCharType="separate"/>
      </w:r>
      <w:r>
        <w:rPr>
          <w:rFonts w:hint="eastAsia" w:ascii="宋体" w:hAnsi="宋体" w:cs="宋体"/>
          <w:sz w:val="24"/>
        </w:rPr>
        <w:t>①</w:t>
      </w:r>
      <w:r>
        <w:rPr>
          <w:rFonts w:hint="eastAsia" w:ascii="宋体" w:hAnsi="宋体" w:cs="宋体"/>
          <w:sz w:val="24"/>
        </w:rPr>
        <w:fldChar w:fldCharType="end"/>
      </w:r>
      <w:r>
        <w:rPr>
          <w:rFonts w:hint="eastAsia" w:ascii="宋体" w:hAnsi="宋体" w:cs="宋体"/>
          <w:sz w:val="24"/>
        </w:rPr>
        <w:t>不服从甲方指挥，强令冒险作业；</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2 \* GB3 </w:instrText>
      </w:r>
      <w:r>
        <w:rPr>
          <w:rFonts w:hint="eastAsia" w:ascii="宋体" w:hAnsi="宋体" w:cs="宋体"/>
          <w:sz w:val="24"/>
        </w:rPr>
        <w:fldChar w:fldCharType="separate"/>
      </w:r>
      <w:r>
        <w:rPr>
          <w:rFonts w:hint="eastAsia" w:ascii="宋体" w:hAnsi="宋体" w:cs="宋体"/>
          <w:sz w:val="24"/>
        </w:rPr>
        <w:t>②</w:t>
      </w:r>
      <w:r>
        <w:rPr>
          <w:rFonts w:hint="eastAsia" w:ascii="宋体" w:hAnsi="宋体" w:cs="宋体"/>
          <w:sz w:val="24"/>
        </w:rPr>
        <w:fldChar w:fldCharType="end"/>
      </w:r>
      <w:r>
        <w:rPr>
          <w:rFonts w:hint="eastAsia" w:ascii="宋体" w:hAnsi="宋体" w:cs="宋体"/>
          <w:sz w:val="24"/>
        </w:rPr>
        <w:t>未按要求参加甲方组织的各项安全检查、会议活动；</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3 \* GB3 </w:instrText>
      </w:r>
      <w:r>
        <w:rPr>
          <w:rFonts w:hint="eastAsia" w:ascii="宋体" w:hAnsi="宋体" w:cs="宋体"/>
          <w:sz w:val="24"/>
        </w:rPr>
        <w:fldChar w:fldCharType="separate"/>
      </w:r>
      <w:r>
        <w:rPr>
          <w:rFonts w:hint="eastAsia" w:ascii="宋体" w:hAnsi="宋体" w:cs="宋体"/>
          <w:sz w:val="24"/>
        </w:rPr>
        <w:t>③</w:t>
      </w:r>
      <w:r>
        <w:rPr>
          <w:rFonts w:hint="eastAsia" w:ascii="宋体" w:hAnsi="宋体" w:cs="宋体"/>
          <w:sz w:val="24"/>
        </w:rPr>
        <w:fldChar w:fldCharType="end"/>
      </w:r>
      <w:r>
        <w:rPr>
          <w:rFonts w:hint="eastAsia" w:ascii="宋体" w:hAnsi="宋体" w:cs="宋体"/>
          <w:sz w:val="24"/>
        </w:rPr>
        <w:t>工作人员在禁烟区擅自动火、吸烟；</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4 \* GB3 </w:instrText>
      </w:r>
      <w:r>
        <w:rPr>
          <w:rFonts w:hint="eastAsia" w:ascii="宋体" w:hAnsi="宋体" w:cs="宋体"/>
          <w:sz w:val="24"/>
        </w:rPr>
        <w:fldChar w:fldCharType="separate"/>
      </w:r>
      <w:r>
        <w:rPr>
          <w:rFonts w:hint="eastAsia" w:ascii="宋体" w:hAnsi="宋体" w:cs="宋体"/>
          <w:sz w:val="24"/>
        </w:rPr>
        <w:t>④</w:t>
      </w:r>
      <w:r>
        <w:rPr>
          <w:rFonts w:hint="eastAsia" w:ascii="宋体" w:hAnsi="宋体" w:cs="宋体"/>
          <w:sz w:val="24"/>
        </w:rPr>
        <w:fldChar w:fldCharType="end"/>
      </w:r>
      <w:r>
        <w:rPr>
          <w:rFonts w:hint="eastAsia" w:ascii="宋体" w:hAnsi="宋体" w:cs="宋体"/>
          <w:sz w:val="24"/>
        </w:rPr>
        <w:t>工作人员未按规定穿戴劳动防护用品，经劝说不听或不服从管理的；</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5 \* GB3 </w:instrText>
      </w:r>
      <w:r>
        <w:rPr>
          <w:rFonts w:hint="eastAsia" w:ascii="宋体" w:hAnsi="宋体" w:cs="宋体"/>
          <w:sz w:val="24"/>
        </w:rPr>
        <w:fldChar w:fldCharType="separate"/>
      </w:r>
      <w:r>
        <w:rPr>
          <w:rFonts w:hint="eastAsia" w:ascii="宋体" w:hAnsi="宋体" w:cs="宋体"/>
          <w:sz w:val="24"/>
        </w:rPr>
        <w:t>⑤</w:t>
      </w:r>
      <w:r>
        <w:rPr>
          <w:rFonts w:hint="eastAsia" w:ascii="宋体" w:hAnsi="宋体" w:cs="宋体"/>
          <w:sz w:val="24"/>
        </w:rPr>
        <w:fldChar w:fldCharType="end"/>
      </w:r>
      <w:r>
        <w:rPr>
          <w:rFonts w:hint="eastAsia" w:ascii="宋体" w:hAnsi="宋体" w:cs="宋体"/>
          <w:sz w:val="24"/>
        </w:rPr>
        <w:t>项目服务过程造成环境影响。</w:t>
      </w:r>
    </w:p>
    <w:p>
      <w:pPr>
        <w:spacing w:line="360" w:lineRule="auto"/>
        <w:ind w:firstLine="480" w:firstLineChars="200"/>
        <w:rPr>
          <w:rFonts w:hint="eastAsia" w:ascii="宋体" w:hAnsi="宋体" w:cs="宋体"/>
          <w:sz w:val="24"/>
        </w:rPr>
      </w:pPr>
      <w:r>
        <w:rPr>
          <w:rFonts w:hint="eastAsia" w:ascii="宋体" w:hAnsi="宋体" w:cs="宋体"/>
          <w:sz w:val="24"/>
        </w:rPr>
        <w:t>2.乙方在项目服务过程中有下列行为的，扣罚履约保证金5000元/次：</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1 \* GB3 </w:instrText>
      </w:r>
      <w:r>
        <w:rPr>
          <w:rFonts w:hint="eastAsia" w:ascii="宋体" w:hAnsi="宋体" w:cs="宋体"/>
          <w:sz w:val="24"/>
        </w:rPr>
        <w:fldChar w:fldCharType="separate"/>
      </w:r>
      <w:r>
        <w:rPr>
          <w:rFonts w:hint="eastAsia" w:ascii="宋体" w:hAnsi="宋体" w:cs="宋体"/>
          <w:sz w:val="24"/>
        </w:rPr>
        <w:t>①</w:t>
      </w:r>
      <w:r>
        <w:rPr>
          <w:rFonts w:hint="eastAsia" w:ascii="宋体" w:hAnsi="宋体" w:cs="宋体"/>
          <w:sz w:val="24"/>
        </w:rPr>
        <w:fldChar w:fldCharType="end"/>
      </w:r>
      <w:r>
        <w:rPr>
          <w:rFonts w:hint="eastAsia" w:ascii="宋体" w:hAnsi="宋体" w:cs="宋体"/>
          <w:sz w:val="24"/>
        </w:rPr>
        <w:t>由于乙方原因造成甲方被主管单位、新闻媒体、12345公开电话投诉或其他上级有关部门书面警告等通报批评的；</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2 \* GB3 </w:instrText>
      </w:r>
      <w:r>
        <w:rPr>
          <w:rFonts w:hint="eastAsia" w:ascii="宋体" w:hAnsi="宋体" w:cs="宋体"/>
          <w:sz w:val="24"/>
        </w:rPr>
        <w:fldChar w:fldCharType="separate"/>
      </w:r>
      <w:r>
        <w:rPr>
          <w:rFonts w:hint="eastAsia" w:ascii="宋体" w:hAnsi="宋体" w:cs="宋体"/>
          <w:sz w:val="24"/>
        </w:rPr>
        <w:t>②</w:t>
      </w:r>
      <w:r>
        <w:rPr>
          <w:rFonts w:hint="eastAsia" w:ascii="宋体" w:hAnsi="宋体" w:cs="宋体"/>
          <w:sz w:val="24"/>
        </w:rPr>
        <w:fldChar w:fldCharType="end"/>
      </w:r>
      <w:r>
        <w:rPr>
          <w:rFonts w:hint="eastAsia" w:ascii="宋体" w:hAnsi="宋体" w:cs="宋体"/>
          <w:sz w:val="24"/>
        </w:rPr>
        <w:t>乙方未履行职责，经甲方三次书面警告的，进行停业整顿的，每次停业整顿。</w:t>
      </w:r>
    </w:p>
    <w:p>
      <w:pPr>
        <w:spacing w:line="360" w:lineRule="auto"/>
        <w:ind w:firstLine="480" w:firstLineChars="200"/>
        <w:rPr>
          <w:rFonts w:hint="eastAsia" w:ascii="宋体" w:hAnsi="宋体" w:cs="宋体"/>
          <w:sz w:val="24"/>
        </w:rPr>
      </w:pPr>
      <w:r>
        <w:rPr>
          <w:rFonts w:hint="eastAsia" w:ascii="宋体" w:hAnsi="宋体" w:cs="宋体"/>
          <w:sz w:val="24"/>
        </w:rPr>
        <w:t>3.乙方项目服务人员无证驾驶车辆（设备）、特殊工种无证上岗、消防器材配置缺损已提醒二十四小时无改进措施等现象，扣罚保证金2000元/人·次。</w:t>
      </w:r>
    </w:p>
    <w:p>
      <w:pPr>
        <w:spacing w:line="360" w:lineRule="auto"/>
        <w:ind w:firstLine="480" w:firstLineChars="200"/>
        <w:rPr>
          <w:rFonts w:hint="eastAsia" w:ascii="宋体" w:hAnsi="宋体" w:cs="宋体"/>
          <w:sz w:val="24"/>
        </w:rPr>
      </w:pPr>
      <w:r>
        <w:rPr>
          <w:rFonts w:hint="eastAsia" w:ascii="宋体" w:hAnsi="宋体" w:cs="宋体"/>
          <w:sz w:val="24"/>
        </w:rPr>
        <w:t>4.乙方在项目服务过程中，对甲方的设施、绿化道路造成影响</w:t>
      </w:r>
      <w:r>
        <w:rPr>
          <w:rFonts w:hint="eastAsia" w:ascii="宋体" w:hAnsi="宋体" w:cs="宋体"/>
          <w:sz w:val="24"/>
          <w:lang w:eastAsia="zh-CN"/>
        </w:rPr>
        <w:t>，</w:t>
      </w:r>
      <w:r>
        <w:rPr>
          <w:rFonts w:hint="eastAsia" w:ascii="宋体" w:hAnsi="宋体" w:cs="宋体"/>
          <w:sz w:val="24"/>
        </w:rPr>
        <w:t>乙方应按甲方要求及时进行原貌恢复或清理，如乙方未能及时进行处理的，甲方有权委托相关部门执行，相应费用在乙方履约保证金中扣除。</w:t>
      </w:r>
    </w:p>
    <w:p>
      <w:pPr>
        <w:spacing w:line="360" w:lineRule="auto"/>
        <w:ind w:firstLine="480" w:firstLineChars="200"/>
        <w:rPr>
          <w:rFonts w:hint="eastAsia" w:ascii="宋体" w:hAnsi="宋体" w:cs="宋体"/>
          <w:sz w:val="24"/>
        </w:rPr>
      </w:pPr>
      <w:r>
        <w:rPr>
          <w:rFonts w:hint="eastAsia" w:ascii="宋体" w:hAnsi="宋体" w:cs="宋体"/>
          <w:sz w:val="24"/>
        </w:rPr>
        <w:t>5.乙方在项目服务过程中，造成甲方生产设施损坏或给甲方生产造成明显影响的，根据设施损坏和影响的程度，乙方须按价给予赔偿，并处罚款。若影响周边生态环境，应按污染程度给予全责赔偿（包括被环保职能部门的处罚）。</w:t>
      </w:r>
    </w:p>
    <w:p>
      <w:pPr>
        <w:spacing w:line="360" w:lineRule="auto"/>
        <w:ind w:firstLine="480" w:firstLineChars="200"/>
        <w:rPr>
          <w:rFonts w:hint="eastAsia" w:ascii="宋体" w:hAnsi="宋体" w:cs="宋体"/>
          <w:sz w:val="24"/>
        </w:rPr>
      </w:pPr>
      <w:r>
        <w:rPr>
          <w:rFonts w:hint="eastAsia" w:ascii="宋体" w:hAnsi="宋体" w:cs="宋体"/>
          <w:sz w:val="24"/>
        </w:rPr>
        <w:t>6.发生紧急情况，乙方应及时向上级主管和甲方报告，同时向相关领导或值班人员汇报。如发生人员伤亡应迅速抢救伤员，并在第一时间</w:t>
      </w:r>
      <w:r>
        <w:rPr>
          <w:rFonts w:hint="eastAsia" w:ascii="宋体" w:hAnsi="宋体" w:cs="宋体"/>
          <w:sz w:val="24"/>
          <w:lang w:eastAsia="zh-CN"/>
        </w:rPr>
        <w:t>送往</w:t>
      </w:r>
      <w:r>
        <w:rPr>
          <w:rFonts w:hint="eastAsia" w:ascii="宋体" w:hAnsi="宋体" w:cs="宋体"/>
          <w:sz w:val="24"/>
        </w:rPr>
        <w:t>就近医院。</w:t>
      </w:r>
    </w:p>
    <w:p>
      <w:pPr>
        <w:spacing w:line="360" w:lineRule="auto"/>
        <w:ind w:firstLine="480" w:firstLineChars="200"/>
        <w:rPr>
          <w:rFonts w:hint="eastAsia" w:ascii="宋体" w:hAnsi="宋体" w:cs="宋体"/>
          <w:sz w:val="24"/>
        </w:rPr>
      </w:pPr>
      <w:r>
        <w:rPr>
          <w:rFonts w:hint="eastAsia" w:ascii="宋体" w:hAnsi="宋体" w:cs="宋体"/>
          <w:sz w:val="24"/>
        </w:rPr>
        <w:t>7.在项目服务期间，乙方发生的安全事故以及造成的人员或财产损失由乙方全额负责。</w:t>
      </w:r>
    </w:p>
    <w:p>
      <w:pPr>
        <w:spacing w:line="360" w:lineRule="auto"/>
        <w:ind w:firstLine="480" w:firstLineChars="200"/>
        <w:rPr>
          <w:rFonts w:hint="eastAsia" w:ascii="宋体" w:hAnsi="宋体" w:cs="宋体"/>
          <w:sz w:val="24"/>
        </w:rPr>
      </w:pPr>
      <w:r>
        <w:rPr>
          <w:rFonts w:hint="eastAsia" w:ascii="宋体" w:hAnsi="宋体" w:cs="宋体"/>
          <w:sz w:val="24"/>
        </w:rPr>
        <w:t>8.其他违反甲方相关安全规章制度的现象，根据违规情况每次酌情扣罚履约保证金200—1000元。</w:t>
      </w:r>
    </w:p>
    <w:p>
      <w:pPr>
        <w:spacing w:line="360" w:lineRule="auto"/>
        <w:ind w:firstLine="482" w:firstLineChars="200"/>
        <w:rPr>
          <w:rFonts w:hint="eastAsia" w:ascii="宋体" w:hAnsi="宋体" w:cs="宋体"/>
          <w:b/>
          <w:sz w:val="24"/>
        </w:rPr>
      </w:pPr>
      <w:r>
        <w:rPr>
          <w:rFonts w:hint="eastAsia" w:ascii="宋体" w:hAnsi="宋体" w:cs="宋体"/>
          <w:b/>
          <w:sz w:val="24"/>
        </w:rPr>
        <w:t>五、其他</w:t>
      </w:r>
    </w:p>
    <w:p>
      <w:pPr>
        <w:widowControl/>
        <w:spacing w:line="360" w:lineRule="auto"/>
        <w:rPr>
          <w:rFonts w:hint="eastAsia" w:ascii="宋体" w:hAnsi="宋体" w:cs="Times New Roman"/>
          <w:b/>
          <w:szCs w:val="24"/>
        </w:rPr>
      </w:pPr>
      <w:r>
        <w:rPr>
          <w:rFonts w:hint="eastAsia" w:ascii="宋体" w:hAnsi="宋体" w:cs="宋体"/>
          <w:sz w:val="24"/>
        </w:rPr>
        <w:t xml:space="preserve">    本协议有效期为双方签署之日起至双方权利义务履行完毕为止。有效期内发生的违约事实，有效期后发现的适用本协议。</w:t>
      </w:r>
    </w:p>
    <w:p>
      <w:pPr>
        <w:pStyle w:val="23"/>
        <w:spacing w:line="560" w:lineRule="exact"/>
        <w:ind w:left="0" w:leftChars="0" w:firstLine="0" w:firstLineChars="0"/>
        <w:jc w:val="center"/>
        <w:rPr>
          <w:rFonts w:ascii="宋体" w:hAnsi="宋体"/>
          <w:b/>
          <w:szCs w:val="24"/>
        </w:rPr>
      </w:pPr>
      <w:r>
        <w:rPr>
          <w:rFonts w:hint="eastAsia" w:ascii="宋体" w:hAnsi="宋体" w:cs="Times New Roman"/>
          <w:b/>
          <w:szCs w:val="24"/>
        </w:rPr>
        <w:t>第</w:t>
      </w:r>
      <w:r>
        <w:rPr>
          <w:rFonts w:hint="eastAsia" w:ascii="宋体" w:hAnsi="宋体" w:cs="Times New Roman"/>
          <w:b/>
          <w:szCs w:val="24"/>
          <w:lang w:val="en-US" w:eastAsia="zh-CN"/>
        </w:rPr>
        <w:t>四</w:t>
      </w:r>
      <w:r>
        <w:rPr>
          <w:rFonts w:hint="eastAsia" w:ascii="宋体" w:hAnsi="宋体" w:cs="Times New Roman"/>
          <w:b/>
          <w:szCs w:val="24"/>
        </w:rPr>
        <w:t xml:space="preserve">章 </w:t>
      </w:r>
      <w:r>
        <w:rPr>
          <w:rFonts w:hint="eastAsia" w:ascii="宋体" w:hAnsi="宋体"/>
          <w:b/>
          <w:szCs w:val="24"/>
        </w:rPr>
        <w:t>廉洁协议</w:t>
      </w:r>
    </w:p>
    <w:p>
      <w:pPr>
        <w:pStyle w:val="7"/>
        <w:ind w:firstLine="0" w:firstLineChars="0"/>
      </w:pPr>
    </w:p>
    <w:p>
      <w:pP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pP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p>
    <w:p>
      <w:pP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pP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pP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pP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pP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pP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pP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pP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pP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pP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pP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pP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pP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pP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pP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pP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pPr>
        <w:adjustRightInd w:val="0"/>
        <w:spacing w:line="360" w:lineRule="auto"/>
        <w:ind w:firstLine="32"/>
        <w:rPr>
          <w:rFonts w:ascii="宋体" w:hAnsi="宋体" w:eastAsia="宋体" w:cs="宋体"/>
          <w:color w:val="000000"/>
          <w:sz w:val="24"/>
        </w:rPr>
      </w:pPr>
    </w:p>
    <w:p/>
    <w:p>
      <w:pPr>
        <w:pStyle w:val="13"/>
      </w:pPr>
    </w:p>
    <w:p/>
    <w:p>
      <w:pPr>
        <w:pStyle w:val="13"/>
      </w:pPr>
    </w:p>
    <w:p/>
    <w:p>
      <w:pPr>
        <w:pStyle w:val="13"/>
      </w:pPr>
    </w:p>
    <w:p/>
    <w:p>
      <w:pPr>
        <w:pStyle w:val="6"/>
      </w:pPr>
    </w:p>
    <w:p/>
    <w:p>
      <w:pPr>
        <w:pStyle w:val="6"/>
      </w:pPr>
    </w:p>
    <w:p/>
    <w:p>
      <w:pPr>
        <w:pStyle w:val="6"/>
      </w:pPr>
    </w:p>
    <w:p>
      <w:pPr>
        <w:pStyle w:val="14"/>
        <w:ind w:firstLine="0"/>
      </w:pPr>
    </w:p>
    <w:p/>
    <w:p/>
    <w:p/>
    <w:p/>
    <w:p>
      <w:pP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pPr>
        <w:pStyle w:val="4"/>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pP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pPr>
        <w:spacing w:line="360" w:lineRule="auto"/>
        <w:rPr>
          <w:rFonts w:ascii="Times New Roman" w:hAnsi="Times New Roman" w:eastAsia="Cambria Math" w:cs="Times New Roman"/>
          <w:sz w:val="96"/>
          <w:szCs w:val="22"/>
        </w:rPr>
      </w:pPr>
    </w:p>
    <w:p>
      <w:pP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pP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pPr>
        <w:spacing w:line="360" w:lineRule="auto"/>
        <w:rPr>
          <w:rFonts w:ascii="宋体" w:hAnsi="宋体" w:eastAsia="宋体" w:cs="宋体"/>
          <w:sz w:val="44"/>
          <w:szCs w:val="44"/>
        </w:rPr>
      </w:pPr>
    </w:p>
    <w:p>
      <w:pPr>
        <w:spacing w:line="480" w:lineRule="auto"/>
        <w:ind w:left="2798" w:leftChars="399" w:hanging="1960" w:hangingChars="700"/>
        <w:jc w:val="left"/>
        <w:rPr>
          <w:rFonts w:hint="eastAsia" w:ascii="宋体" w:hAnsi="宋体" w:eastAsia="宋体" w:cs="宋体"/>
          <w:sz w:val="28"/>
          <w:szCs w:val="22"/>
          <w:u w:val="single"/>
          <w:lang w:eastAsia="zh-CN"/>
        </w:rPr>
      </w:pPr>
      <w:r>
        <w:rPr>
          <w:rFonts w:hint="eastAsia" w:ascii="宋体" w:hAnsi="宋体" w:eastAsia="宋体" w:cs="宋体"/>
          <w:sz w:val="28"/>
          <w:szCs w:val="22"/>
        </w:rPr>
        <w:t>采购项目名称：</w:t>
      </w:r>
      <w:r>
        <w:rPr>
          <w:rFonts w:hint="eastAsia" w:ascii="宋体" w:hAnsi="宋体" w:eastAsia="宋体" w:cs="宋体"/>
          <w:sz w:val="28"/>
          <w:szCs w:val="22"/>
          <w:u w:val="single"/>
          <w:lang w:eastAsia="zh-CN"/>
        </w:rPr>
        <w:t>2024年临江公司碱液脱酸系统备件采购项目</w:t>
      </w:r>
    </w:p>
    <w:p>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202408021</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杭州临江环境能源有限公司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p>
    <w:p>
      <w:pP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pPr>
        <w:spacing w:line="360" w:lineRule="auto"/>
        <w:jc w:val="center"/>
        <w:outlineLvl w:val="0"/>
        <w:rPr>
          <w:rFonts w:cs="仿宋" w:asciiTheme="minorEastAsia" w:hAnsiTheme="minorEastAsia"/>
          <w:b/>
          <w:kern w:val="0"/>
          <w:sz w:val="36"/>
          <w:szCs w:val="36"/>
        </w:rPr>
      </w:pPr>
    </w:p>
    <w:p>
      <w:pP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pP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pP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）本项目的</w:t>
      </w:r>
      <w:r>
        <w:rPr>
          <w:rFonts w:hint="eastAsia" w:cs="仿宋" w:asciiTheme="minorEastAsia" w:hAnsiTheme="minorEastAsia"/>
          <w:sz w:val="24"/>
          <w:highlight w:val="none"/>
          <w:lang w:val="en-US" w:eastAsia="zh-CN"/>
        </w:rPr>
        <w:t>询价保证金银行电子回单</w:t>
      </w:r>
      <w:r>
        <w:rPr>
          <w:rFonts w:hint="eastAsia" w:cs="仿宋" w:asciiTheme="minorEastAsia" w:hAnsiTheme="minorEastAsia"/>
          <w:sz w:val="24"/>
          <w:highlight w:val="none"/>
        </w:rPr>
        <w:t>（如果有）……………………（页码）</w:t>
      </w:r>
    </w:p>
    <w:p>
      <w:pPr>
        <w:snapToGrid w:val="0"/>
        <w:spacing w:line="360" w:lineRule="auto"/>
        <w:rPr>
          <w:rFonts w:hint="eastAsia" w:cs="仿宋" w:asciiTheme="minorEastAsia" w:hAnsiTheme="minorEastAsia"/>
          <w:sz w:val="24"/>
        </w:rPr>
      </w:pPr>
    </w:p>
    <w:p>
      <w:pPr>
        <w:pStyle w:val="6"/>
      </w:pPr>
    </w:p>
    <w:p>
      <w:pPr>
        <w:pStyle w:val="14"/>
      </w:pPr>
    </w:p>
    <w:p/>
    <w:p/>
    <w:p/>
    <w:p/>
    <w:p/>
    <w:p>
      <w:pPr>
        <w:pStyle w:val="6"/>
      </w:pPr>
    </w:p>
    <w:p>
      <w:pPr>
        <w:pStyle w:val="14"/>
      </w:pPr>
    </w:p>
    <w:p/>
    <w:p>
      <w:pPr>
        <w:pStyle w:val="6"/>
      </w:pPr>
    </w:p>
    <w:p>
      <w:pPr>
        <w:pStyle w:val="14"/>
      </w:pPr>
    </w:p>
    <w:p/>
    <w:p>
      <w:pPr>
        <w:pStyle w:val="6"/>
      </w:pPr>
    </w:p>
    <w:p>
      <w:pPr>
        <w:pStyle w:val="14"/>
      </w:pPr>
    </w:p>
    <w:p/>
    <w:p>
      <w:pPr>
        <w:pStyle w:val="6"/>
      </w:pPr>
    </w:p>
    <w:p>
      <w:pPr>
        <w:pStyle w:val="14"/>
      </w:pPr>
    </w:p>
    <w:p/>
    <w:p>
      <w:pPr>
        <w:pStyle w:val="6"/>
      </w:pPr>
    </w:p>
    <w:p>
      <w:pPr>
        <w:pStyle w:val="14"/>
      </w:pPr>
    </w:p>
    <w:p/>
    <w:p>
      <w:pPr>
        <w:pStyle w:val="6"/>
      </w:pPr>
    </w:p>
    <w:p>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2024年临江公司碱液脱酸系统备件采购项目</w:t>
      </w:r>
      <w:r>
        <w:rPr>
          <w:rFonts w:hint="eastAsia" w:cs="仿宋" w:asciiTheme="minorEastAsia" w:hAnsiTheme="minorEastAsia"/>
          <w:sz w:val="24"/>
        </w:rPr>
        <w:t>【项目编号：</w:t>
      </w:r>
      <w:r>
        <w:rPr>
          <w:rFonts w:hint="eastAsia" w:cs="仿宋" w:asciiTheme="minorEastAsia" w:hAnsiTheme="minorEastAsia"/>
          <w:sz w:val="24"/>
          <w:u w:val="single"/>
          <w:lang w:eastAsia="zh-CN"/>
        </w:rPr>
        <w:t>202408021</w:t>
      </w:r>
      <w:r>
        <w:rPr>
          <w:rFonts w:hint="eastAsia" w:cs="仿宋" w:asciiTheme="minorEastAsia" w:hAnsiTheme="minorEastAsia"/>
          <w:sz w:val="24"/>
        </w:rPr>
        <w:t>】采购活动，郑重承诺：</w:t>
      </w:r>
    </w:p>
    <w:p>
      <w:pP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www.creditchina.gov.cn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、中国政府采购网</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www.ccgp.gov.cn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pP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pPr>
        <w:snapToGrid w:val="0"/>
        <w:spacing w:line="360" w:lineRule="auto"/>
        <w:ind w:firstLine="480" w:firstLineChars="200"/>
        <w:rPr>
          <w:rFonts w:hint="eastAsia" w:cs="仿宋" w:asciiTheme="minorEastAsia" w:hAnsiTheme="minorEastAsia"/>
          <w:sz w:val="24"/>
        </w:rPr>
      </w:pPr>
    </w:p>
    <w:p>
      <w:pPr>
        <w:snapToGrid w:val="0"/>
        <w:spacing w:line="360" w:lineRule="auto"/>
        <w:ind w:firstLine="480" w:firstLineChars="200"/>
        <w:rPr>
          <w:rFonts w:hint="eastAsia" w:cs="仿宋" w:asciiTheme="minorEastAsia" w:hAnsiTheme="minorEastAsia"/>
          <w:sz w:val="24"/>
        </w:rPr>
      </w:pPr>
    </w:p>
    <w:p>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pPr>
        <w:snapToGrid w:val="0"/>
        <w:spacing w:line="360" w:lineRule="auto"/>
        <w:ind w:right="480"/>
        <w:jc w:val="center"/>
        <w:rPr>
          <w:rFonts w:cs="仿宋" w:asciiTheme="minorEastAsia" w:hAnsiTheme="minorEastAsia"/>
          <w:b/>
          <w:kern w:val="0"/>
          <w:sz w:val="32"/>
          <w:szCs w:val="32"/>
        </w:rPr>
      </w:pPr>
    </w:p>
    <w:p/>
    <w:p>
      <w:pPr>
        <w:pStyle w:val="6"/>
      </w:pPr>
    </w:p>
    <w:p>
      <w:pPr>
        <w:pStyle w:val="14"/>
      </w:pPr>
    </w:p>
    <w:p/>
    <w:p>
      <w:pPr>
        <w:pStyle w:val="6"/>
      </w:pPr>
    </w:p>
    <w:p>
      <w:pPr>
        <w:pStyle w:val="14"/>
      </w:pPr>
    </w:p>
    <w:p/>
    <w:p>
      <w:pPr>
        <w:pStyle w:val="6"/>
      </w:pPr>
    </w:p>
    <w:p>
      <w:pPr>
        <w:pStyle w:val="14"/>
      </w:pPr>
    </w:p>
    <w:p/>
    <w:p>
      <w:pPr>
        <w:pStyle w:val="11"/>
      </w:pPr>
    </w:p>
    <w:p>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pPr>
        <w:pStyle w:val="6"/>
        <w:rPr>
          <w:lang w:val="en-US"/>
        </w:rPr>
      </w:pPr>
    </w:p>
    <w:p>
      <w:pPr>
        <w:spacing w:line="360" w:lineRule="auto"/>
        <w:ind w:firstLine="643" w:firstLineChars="200"/>
        <w:rPr>
          <w:rFonts w:cs="仿宋" w:asciiTheme="minorEastAsia" w:hAnsiTheme="minorEastAsia"/>
          <w:b/>
          <w:kern w:val="0"/>
          <w:sz w:val="32"/>
          <w:szCs w:val="32"/>
        </w:rPr>
      </w:pPr>
    </w:p>
    <w:p>
      <w:pP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pP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（根据采购公告本项目的特定要求提供相应的材料，如业绩证明材料、特殊行业许可证书等；未要求的，无需提供）</w:t>
      </w:r>
    </w:p>
    <w:p/>
    <w:p>
      <w:pPr>
        <w:pStyle w:val="6"/>
      </w:pPr>
    </w:p>
    <w:p>
      <w:pPr>
        <w:pStyle w:val="14"/>
      </w:pPr>
    </w:p>
    <w:p>
      <w:pPr>
        <w:rPr>
          <w:highlight w:val="none"/>
        </w:rPr>
      </w:pPr>
    </w:p>
    <w:p>
      <w:pPr>
        <w:pStyle w:val="6"/>
        <w:jc w:val="center"/>
        <w:rPr>
          <w:rFonts w:hint="eastAsia" w:cs="仿宋" w:asciiTheme="minorEastAsia" w:hAnsiTheme="minorEastAsia" w:eastAsiaTheme="minorEastAsia"/>
          <w:b/>
          <w:snapToGrid/>
          <w:kern w:val="0"/>
          <w:sz w:val="32"/>
          <w:szCs w:val="32"/>
          <w:highlight w:val="none"/>
          <w:lang w:val="en-US" w:eastAsia="zh-CN" w:bidi="ar-SA"/>
        </w:rPr>
      </w:pPr>
      <w:r>
        <w:rPr>
          <w:rFonts w:hint="eastAsia" w:cs="仿宋" w:asciiTheme="minorEastAsia" w:hAnsiTheme="minorEastAsia" w:eastAsiaTheme="minorEastAsia"/>
          <w:b/>
          <w:snapToGrid/>
          <w:kern w:val="0"/>
          <w:sz w:val="32"/>
          <w:szCs w:val="32"/>
          <w:highlight w:val="none"/>
          <w:lang w:val="en-US" w:eastAsia="zh-CN" w:bidi="ar-SA"/>
        </w:rPr>
        <w:t>四、询价保证金银行电子回单</w:t>
      </w:r>
    </w:p>
    <w:p>
      <w:pPr>
        <w:pStyle w:val="14"/>
        <w:jc w:val="center"/>
        <w:rPr>
          <w:rFonts w:hint="eastAsia" w:eastAsiaTheme="minorEastAsia"/>
          <w:highlight w:val="none"/>
          <w:lang w:eastAsia="zh-CN"/>
        </w:rPr>
      </w:pPr>
      <w:r>
        <w:rPr>
          <w:rFonts w:hint="eastAsia"/>
          <w:highlight w:val="none"/>
          <w:lang w:eastAsia="zh-CN"/>
        </w:rPr>
        <w:t>（</w:t>
      </w:r>
      <w:r>
        <w:rPr>
          <w:rFonts w:hint="eastAsia"/>
          <w:highlight w:val="none"/>
          <w:lang w:val="en-US" w:eastAsia="zh-CN"/>
        </w:rPr>
        <w:t>若有则提供，</w:t>
      </w:r>
      <w:r>
        <w:rPr>
          <w:rFonts w:hint="eastAsia" w:cs="仿宋" w:asciiTheme="minorEastAsia" w:hAnsiTheme="minorEastAsia"/>
          <w:sz w:val="24"/>
          <w:highlight w:val="none"/>
        </w:rPr>
        <w:t>未要求的，无需提供</w:t>
      </w:r>
      <w:r>
        <w:rPr>
          <w:rFonts w:hint="eastAsia"/>
          <w:highlight w:val="none"/>
          <w:lang w:eastAsia="zh-CN"/>
        </w:rPr>
        <w:t>）</w:t>
      </w:r>
    </w:p>
    <w:p/>
    <w:p>
      <w:pPr>
        <w:pStyle w:val="6"/>
      </w:pPr>
    </w:p>
    <w:p>
      <w:pPr>
        <w:pStyle w:val="14"/>
      </w:pPr>
    </w:p>
    <w:p/>
    <w:p>
      <w:pPr>
        <w:pStyle w:val="6"/>
      </w:pPr>
    </w:p>
    <w:p>
      <w:pPr>
        <w:pStyle w:val="14"/>
      </w:pPr>
    </w:p>
    <w:p/>
    <w:p>
      <w:pPr>
        <w:pStyle w:val="6"/>
      </w:pPr>
    </w:p>
    <w:p>
      <w:pPr>
        <w:pStyle w:val="14"/>
      </w:pPr>
    </w:p>
    <w:p/>
    <w:p>
      <w:pPr>
        <w:pStyle w:val="6"/>
      </w:pPr>
    </w:p>
    <w:p>
      <w:pPr>
        <w:pStyle w:val="14"/>
      </w:pPr>
    </w:p>
    <w:p/>
    <w:p>
      <w:pPr>
        <w:pStyle w:val="6"/>
      </w:pPr>
    </w:p>
    <w:p>
      <w:pPr>
        <w:pStyle w:val="14"/>
      </w:pPr>
    </w:p>
    <w:p/>
    <w:p>
      <w:pPr>
        <w:pStyle w:val="6"/>
      </w:pPr>
    </w:p>
    <w:p>
      <w:pPr>
        <w:pStyle w:val="6"/>
      </w:pPr>
    </w:p>
    <w:p>
      <w:pPr>
        <w:pStyle w:val="14"/>
      </w:pPr>
    </w:p>
    <w:p>
      <w:pPr>
        <w:pStyle w:val="6"/>
      </w:pPr>
    </w:p>
    <w:p>
      <w:pP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pPr>
        <w:spacing w:line="360" w:lineRule="auto"/>
        <w:jc w:val="center"/>
        <w:outlineLvl w:val="0"/>
        <w:rPr>
          <w:rFonts w:cs="仿宋" w:asciiTheme="minorEastAsia" w:hAnsiTheme="minorEastAsia"/>
          <w:b/>
          <w:kern w:val="0"/>
          <w:sz w:val="24"/>
        </w:rPr>
      </w:pPr>
    </w:p>
    <w:p>
      <w:pP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pP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pP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pP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pP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pP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pP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pPr>
        <w:pStyle w:val="14"/>
      </w:pPr>
    </w:p>
    <w:p/>
    <w:p>
      <w:pPr>
        <w:pStyle w:val="6"/>
      </w:pPr>
    </w:p>
    <w:p>
      <w:pPr>
        <w:pStyle w:val="14"/>
      </w:pPr>
    </w:p>
    <w:p/>
    <w:p>
      <w:pPr>
        <w:pStyle w:val="6"/>
      </w:pPr>
    </w:p>
    <w:p>
      <w:pPr>
        <w:pStyle w:val="14"/>
      </w:pPr>
    </w:p>
    <w:p/>
    <w:p>
      <w:pPr>
        <w:pStyle w:val="6"/>
      </w:pPr>
    </w:p>
    <w:p>
      <w:pPr>
        <w:pStyle w:val="14"/>
      </w:pPr>
    </w:p>
    <w:p/>
    <w:p>
      <w:pPr>
        <w:pStyle w:val="6"/>
      </w:pPr>
    </w:p>
    <w:p>
      <w:pPr>
        <w:pStyle w:val="14"/>
      </w:pPr>
    </w:p>
    <w:p/>
    <w:p>
      <w:pPr>
        <w:pStyle w:val="6"/>
      </w:pPr>
    </w:p>
    <w:p>
      <w:pPr>
        <w:pStyle w:val="14"/>
      </w:pPr>
    </w:p>
    <w:p/>
    <w:p>
      <w:pPr>
        <w:pStyle w:val="6"/>
      </w:pPr>
    </w:p>
    <w:p>
      <w:pPr>
        <w:pStyle w:val="14"/>
      </w:pPr>
    </w:p>
    <w:p>
      <w:pPr>
        <w:pStyle w:val="14"/>
      </w:pPr>
    </w:p>
    <w:p>
      <w:pP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2024年临江公司碱液脱酸系统备件采购项目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202408021</w:t>
      </w:r>
      <w:r>
        <w:rPr>
          <w:rFonts w:hint="eastAsia" w:cs="仿宋" w:asciiTheme="minorEastAsia" w:hAnsiTheme="minorEastAsia"/>
          <w:sz w:val="24"/>
          <w:u w:val="single"/>
        </w:rPr>
        <w:t>】</w:t>
      </w:r>
      <w:r>
        <w:rPr>
          <w:rFonts w:hint="eastAsia" w:cs="仿宋" w:asciiTheme="minorEastAsia" w:hAnsiTheme="minorEastAsia"/>
          <w:sz w:val="24"/>
        </w:rPr>
        <w:t>的有关活动，并对此项目进行响应。为此：</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pP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pPr>
        <w:numPr>
          <w:ilvl w:val="0"/>
          <w:numId w:val="3"/>
        </w:num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cs="仿宋" w:asciiTheme="minorEastAsia" w:hAnsiTheme="minorEastAsia"/>
          <w:sz w:val="24"/>
          <w:lang w:eastAsia="zh-CN"/>
        </w:rPr>
        <w:t>：</w:t>
      </w:r>
      <w:r>
        <w:rPr>
          <w:rFonts w:hint="eastAsia" w:ascii="宋体" w:hAnsi="宋体" w:cs="宋体"/>
          <w:sz w:val="24"/>
          <w:u w:val="single"/>
        </w:rPr>
        <w:t xml:space="preserve">              </w:t>
      </w:r>
      <w:r>
        <w:rPr>
          <w:rFonts w:hint="eastAsia" w:cs="仿宋" w:asciiTheme="minorEastAsia" w:hAnsiTheme="minorEastAsia"/>
          <w:sz w:val="24"/>
        </w:rPr>
        <w:t>。</w:t>
      </w:r>
    </w:p>
    <w:p>
      <w:pPr>
        <w:pStyle w:val="6"/>
      </w:pPr>
    </w:p>
    <w:p>
      <w:pPr>
        <w:pStyle w:val="14"/>
      </w:pPr>
    </w:p>
    <w:p>
      <w:pP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pPr>
        <w:spacing w:line="360" w:lineRule="auto"/>
        <w:jc w:val="center"/>
        <w:rPr>
          <w:rFonts w:cs="仿宋" w:asciiTheme="minorEastAsia" w:hAnsiTheme="minorEastAsia"/>
          <w:sz w:val="24"/>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sz w:val="24"/>
        </w:rPr>
        <w:t xml:space="preserve">     日期：  年   月   日</w:t>
      </w:r>
    </w:p>
    <w:p>
      <w:pP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pPr>
        <w:snapToGrid w:val="0"/>
        <w:spacing w:line="360" w:lineRule="auto"/>
        <w:rPr>
          <w:rFonts w:cs="仿宋" w:asciiTheme="minorEastAsia" w:hAnsiTheme="minorEastAsia"/>
          <w:kern w:val="0"/>
          <w:sz w:val="24"/>
        </w:rPr>
      </w:pP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pP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2024年临江公司碱液脱酸系统备件采购项目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202408021</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w:t>
      </w:r>
      <w:r>
        <w:rPr>
          <w:rFonts w:hint="eastAsia" w:cs="仿宋" w:asciiTheme="minorEastAsia" w:hAnsiTheme="minorEastAsia"/>
          <w:kern w:val="0"/>
          <w:sz w:val="24"/>
        </w:rPr>
        <w:t>其</w:t>
      </w:r>
      <w:r>
        <w:rPr>
          <w:rFonts w:hint="eastAsia" w:cs="仿宋" w:asciiTheme="minorEastAsia" w:hAnsiTheme="minorEastAsia"/>
          <w:kern w:val="0"/>
          <w:sz w:val="24"/>
          <w:highlight w:val="none"/>
        </w:rPr>
        <w:t>在报价</w:t>
      </w:r>
      <w:r>
        <w:rPr>
          <w:rFonts w:hint="eastAsia" w:cs="仿宋" w:asciiTheme="minorEastAsia" w:hAnsiTheme="minorEastAsia"/>
          <w:kern w:val="0"/>
          <w:sz w:val="24"/>
          <w:highlight w:val="none"/>
          <w:lang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rPr>
        <w:t>过程中</w:t>
      </w:r>
      <w:r>
        <w:rPr>
          <w:rFonts w:hint="eastAsia" w:cs="仿宋" w:asciiTheme="minorEastAsia" w:hAnsiTheme="minorEastAsia"/>
          <w:kern w:val="0"/>
          <w:sz w:val="24"/>
        </w:rPr>
        <w:t>的一切活动本公司均予承认</w:t>
      </w:r>
      <w:r>
        <w:rPr>
          <w:rFonts w:hint="eastAsia" w:cs="仿宋" w:asciiTheme="minorEastAsia" w:hAnsiTheme="minorEastAsia"/>
          <w:kern w:val="0"/>
          <w:sz w:val="24"/>
          <w:lang w:val="zh-CN"/>
        </w:rPr>
        <w:t>，其法律后果由我方承担。</w:t>
      </w:r>
    </w:p>
    <w:p>
      <w:pPr>
        <w:snapToGrid w:val="0"/>
        <w:spacing w:line="360" w:lineRule="auto"/>
        <w:rPr>
          <w:rFonts w:cs="仿宋" w:asciiTheme="minorEastAsia" w:hAnsiTheme="minorEastAsia"/>
          <w:kern w:val="0"/>
          <w:sz w:val="24"/>
          <w:lang w:val="zh-CN"/>
        </w:rPr>
      </w:pP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pP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pStyle w:val="6"/>
        <w:rPr>
          <w:rFonts w:cs="仿宋" w:asciiTheme="minorEastAsia" w:hAnsiTheme="minorEastAsia"/>
          <w:b/>
          <w:kern w:val="0"/>
          <w:sz w:val="32"/>
          <w:szCs w:val="32"/>
        </w:rPr>
      </w:pPr>
    </w:p>
    <w:p>
      <w:pPr>
        <w:pStyle w:val="14"/>
        <w:rPr>
          <w:rFonts w:cs="仿宋" w:asciiTheme="minorEastAsia" w:hAnsiTheme="minorEastAsia"/>
          <w:b/>
          <w:kern w:val="0"/>
          <w:sz w:val="32"/>
          <w:szCs w:val="32"/>
        </w:rPr>
      </w:pPr>
    </w:p>
    <w:p>
      <w:pPr>
        <w:rPr>
          <w:rFonts w:cs="仿宋" w:asciiTheme="minorEastAsia" w:hAnsiTheme="minorEastAsia"/>
          <w:b/>
          <w:kern w:val="0"/>
          <w:sz w:val="32"/>
          <w:szCs w:val="32"/>
          <w:lang w:val="zh-CN"/>
        </w:rPr>
      </w:pPr>
    </w:p>
    <w:p>
      <w:pPr>
        <w:pStyle w:val="6"/>
        <w:rPr>
          <w:rFonts w:cs="仿宋" w:asciiTheme="minorEastAsia" w:hAnsiTheme="minorEastAsia"/>
          <w:b/>
          <w:kern w:val="0"/>
          <w:sz w:val="32"/>
          <w:szCs w:val="32"/>
        </w:rPr>
      </w:pPr>
    </w:p>
    <w:p>
      <w:pPr>
        <w:pStyle w:val="14"/>
      </w:pPr>
    </w:p>
    <w:p/>
    <w:p>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adjustRightInd w:val="0"/>
              <w:spacing w:line="360" w:lineRule="auto"/>
              <w:rPr>
                <w:rFonts w:cs="仿宋" w:asciiTheme="minorEastAsia" w:hAnsiTheme="minorEastAsia" w:eastAsiaTheme="minorEastAsia"/>
                <w:bCs/>
                <w:sz w:val="24"/>
              </w:rPr>
            </w:pPr>
          </w:p>
        </w:tc>
      </w:tr>
    </w:tbl>
    <w:p>
      <w:pPr>
        <w:snapToGrid w:val="0"/>
        <w:spacing w:line="360" w:lineRule="auto"/>
        <w:ind w:firstLine="576"/>
        <w:jc w:val="center"/>
        <w:rPr>
          <w:rFonts w:cs="仿宋" w:asciiTheme="minorEastAsia" w:hAnsiTheme="minorEastAsia"/>
          <w:kern w:val="0"/>
          <w:sz w:val="24"/>
          <w:lang w:val="zh-CN"/>
        </w:rPr>
      </w:pPr>
    </w:p>
    <w:p>
      <w:pPr>
        <w:snapToGrid w:val="0"/>
        <w:spacing w:line="360" w:lineRule="auto"/>
        <w:ind w:firstLine="576"/>
        <w:jc w:val="center"/>
        <w:rPr>
          <w:rFonts w:cs="仿宋" w:asciiTheme="minorEastAsia" w:hAnsiTheme="minorEastAsia"/>
          <w:kern w:val="0"/>
          <w:sz w:val="24"/>
          <w:lang w:val="zh-CN"/>
        </w:rPr>
      </w:pPr>
    </w:p>
    <w:p>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adjustRightInd w:val="0"/>
              <w:spacing w:line="360" w:lineRule="auto"/>
              <w:rPr>
                <w:rFonts w:cs="仿宋" w:asciiTheme="minorEastAsia" w:hAnsiTheme="minorEastAsia" w:eastAsiaTheme="minorEastAsia"/>
                <w:bCs/>
                <w:sz w:val="24"/>
              </w:rPr>
            </w:pPr>
          </w:p>
        </w:tc>
      </w:tr>
    </w:tbl>
    <w:p>
      <w:pPr>
        <w:snapToGrid w:val="0"/>
        <w:spacing w:line="360" w:lineRule="auto"/>
        <w:ind w:firstLine="576"/>
        <w:jc w:val="center"/>
        <w:rPr>
          <w:rFonts w:cs="仿宋" w:asciiTheme="minorEastAsia" w:hAnsiTheme="minorEastAsia"/>
          <w:kern w:val="0"/>
          <w:sz w:val="24"/>
          <w:lang w:val="zh-CN"/>
        </w:rPr>
      </w:pP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pPr>
        <w:spacing w:line="360" w:lineRule="auto"/>
        <w:jc w:val="center"/>
        <w:rPr>
          <w:rFonts w:cs="仿宋" w:asciiTheme="minorEastAsia" w:hAnsiTheme="minorEastAsia"/>
          <w:kern w:val="0"/>
          <w:sz w:val="24"/>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kern w:val="0"/>
          <w:sz w:val="24"/>
          <w:lang w:val="zh-CN"/>
        </w:rPr>
        <w:t xml:space="preserve">                   日期：  年  月  日</w:t>
      </w:r>
    </w:p>
    <w:p>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pP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pP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pPr>
              <w:jc w:val="center"/>
              <w:rPr>
                <w:rFonts w:cs="仿宋" w:asciiTheme="minorEastAsia" w:hAnsiTheme="minorEastAsia"/>
                <w:sz w:val="24"/>
              </w:rPr>
            </w:pPr>
          </w:p>
          <w:p>
            <w:pPr>
              <w:jc w:val="center"/>
              <w:rPr>
                <w:rFonts w:cs="仿宋" w:asciiTheme="minorEastAsia" w:hAnsiTheme="minorEastAsia"/>
                <w:sz w:val="24"/>
              </w:rPr>
            </w:pPr>
            <w:r>
              <w:rPr>
                <w:rFonts w:hint="eastAsia" w:cs="仿宋" w:asciiTheme="minorEastAsia" w:hAnsiTheme="minorEastAsia"/>
                <w:sz w:val="24"/>
              </w:rPr>
              <w:t>见响应文件</w:t>
            </w:r>
          </w:p>
          <w:p>
            <w:pPr>
              <w:jc w:val="center"/>
              <w:rPr>
                <w:rFonts w:cs="仿宋" w:asciiTheme="minorEastAsia" w:hAnsiTheme="minorEastAsia"/>
              </w:rPr>
            </w:pPr>
            <w:r>
              <w:rPr>
                <w:rFonts w:hint="eastAsia" w:cs="仿宋" w:asciiTheme="minorEastAsia" w:hAnsiTheme="minorEastAsia"/>
                <w:sz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pP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pPr>
              <w:jc w:val="center"/>
              <w:rPr>
                <w:rFonts w:cs="仿宋" w:asciiTheme="minorEastAsia" w:hAnsiTheme="minorEastAsia"/>
              </w:rPr>
            </w:pPr>
            <w:r>
              <w:rPr>
                <w:rFonts w:hint="eastAsia" w:cs="仿宋" w:asciiTheme="minorEastAsia" w:hAnsiTheme="minorEastAsia"/>
                <w:sz w:val="24"/>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pP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pPr>
              <w:jc w:val="center"/>
              <w:rPr>
                <w:rFonts w:cs="仿宋" w:asciiTheme="minorEastAsia" w:hAnsiTheme="minorEastAsia"/>
              </w:rPr>
            </w:pPr>
            <w:r>
              <w:rPr>
                <w:rFonts w:hint="eastAsia" w:cs="仿宋" w:asciiTheme="minorEastAsia" w:hAnsiTheme="minorEastAsia"/>
                <w:sz w:val="24"/>
              </w:rPr>
              <w:t>见响应文件第  页</w:t>
            </w:r>
          </w:p>
        </w:tc>
      </w:tr>
    </w:tbl>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pP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pP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pPr>
              <w:jc w:val="center"/>
              <w:rPr>
                <w:rFonts w:cs="仿宋" w:asciiTheme="minorEastAsia" w:hAnsiTheme="minorEastAsia"/>
                <w:b/>
                <w:bCs/>
                <w:sz w:val="24"/>
              </w:rPr>
            </w:pPr>
            <w:r>
              <w:rPr>
                <w:rFonts w:hint="eastAsia" w:cs="仿宋" w:asciiTheme="minorEastAsia" w:hAnsiTheme="minorEastAsia"/>
                <w:b/>
                <w:bCs/>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bl>
    <w:p>
      <w:pP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pPr>
        <w:snapToGrid w:val="0"/>
        <w:spacing w:line="360" w:lineRule="auto"/>
        <w:rPr>
          <w:rFonts w:cs="仿宋" w:asciiTheme="minorEastAsia" w:hAnsiTheme="minorEastAsia"/>
          <w:sz w:val="24"/>
        </w:rPr>
      </w:pPr>
    </w:p>
    <w:p>
      <w:pP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pP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pP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pPr>
        <w:spacing w:line="360" w:lineRule="auto"/>
        <w:ind w:left="4620" w:leftChars="2200" w:firstLine="240" w:firstLineChars="100"/>
        <w:rPr>
          <w:rFonts w:cs="仿宋" w:asciiTheme="minorEastAsia" w:hAnsiTheme="minorEastAsia"/>
          <w:kern w:val="0"/>
          <w:sz w:val="24"/>
          <w:lang w:val="zh-CN"/>
        </w:rPr>
      </w:pPr>
      <w:r>
        <w:rPr>
          <w:rFonts w:hint="eastAsia" w:cs="仿宋" w:asciiTheme="minorEastAsia" w:hAnsiTheme="minorEastAsia"/>
          <w:kern w:val="0"/>
          <w:sz w:val="24"/>
          <w:lang w:val="zh-CN"/>
        </w:rPr>
        <w:t>法定代表人签字：</w:t>
      </w:r>
    </w:p>
    <w:p>
      <w:pP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pPr>
        <w:pStyle w:val="6"/>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pPr>
        <w:pStyle w:val="11"/>
        <w:rPr>
          <w:lang w:val="zh-CN"/>
        </w:rPr>
      </w:pPr>
    </w:p>
    <w:p>
      <w:pP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pP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pPr>
              <w:spacing w:line="360" w:lineRule="auto"/>
              <w:jc w:val="center"/>
              <w:rPr>
                <w:rFonts w:ascii="宋体" w:hAnsi="宋体" w:eastAsia="宋体" w:cs="宋体"/>
                <w:sz w:val="24"/>
              </w:rPr>
            </w:pPr>
            <w:r>
              <w:rPr>
                <w:rFonts w:hint="eastAsia" w:ascii="宋体" w:hAnsi="宋体" w:eastAsia="宋体" w:cs="宋体"/>
                <w:sz w:val="24"/>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bl>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pacing w:line="360" w:lineRule="auto"/>
        <w:rPr>
          <w:rFonts w:ascii="宋体" w:hAnsi="宋体" w:eastAsia="宋体" w:cs="宋体"/>
          <w:b/>
          <w:bCs/>
          <w:sz w:val="24"/>
        </w:r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pPr>
        <w:pStyle w:val="11"/>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pP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p>
        </w:tc>
        <w:tc>
          <w:tcPr>
            <w:tcW w:w="5387" w:type="dxa"/>
            <w:vAlign w:val="center"/>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p>
        </w:tc>
        <w:tc>
          <w:tcPr>
            <w:tcW w:w="5387" w:type="dxa"/>
            <w:vAlign w:val="center"/>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pPr>
              <w:spacing w:line="360" w:lineRule="auto"/>
              <w:rPr>
                <w:rFonts w:ascii="宋体" w:hAnsi="宋体" w:eastAsia="宋体" w:cs="宋体"/>
                <w:b/>
                <w:kern w:val="0"/>
                <w:sz w:val="24"/>
              </w:rPr>
            </w:pPr>
          </w:p>
        </w:tc>
      </w:tr>
    </w:tbl>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pacing w:line="360" w:lineRule="auto"/>
        <w:rPr>
          <w:rFonts w:ascii="宋体" w:hAnsi="宋体" w:eastAsia="宋体" w:cs="宋体"/>
          <w:b/>
          <w:kern w:val="0"/>
          <w:sz w:val="24"/>
        </w:rPr>
      </w:pPr>
    </w:p>
    <w:p>
      <w:pPr>
        <w:spacing w:line="360" w:lineRule="auto"/>
        <w:rPr>
          <w:rFonts w:ascii="宋体" w:hAnsi="宋体" w:eastAsia="宋体" w:cs="宋体"/>
          <w:b/>
          <w:kern w:val="0"/>
          <w:sz w:val="24"/>
        </w:rPr>
      </w:pPr>
    </w:p>
    <w:p>
      <w:pPr>
        <w:spacing w:line="360" w:lineRule="auto"/>
        <w:rPr>
          <w:rFonts w:ascii="宋体" w:hAnsi="宋体" w:eastAsia="宋体" w:cs="宋体"/>
          <w:b/>
          <w:kern w:val="0"/>
          <w:sz w:val="24"/>
        </w:rPr>
      </w:pPr>
      <w:r>
        <w:rPr>
          <w:rFonts w:hint="eastAsia" w:ascii="宋体" w:hAnsi="宋体" w:eastAsia="宋体" w:cs="宋体"/>
          <w:b/>
          <w:kern w:val="0"/>
          <w:sz w:val="24"/>
        </w:rPr>
        <w:t>注：</w:t>
      </w:r>
    </w:p>
    <w:p>
      <w:pP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pP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pP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pP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2024年临江公司碱液脱酸系统备件采购项目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202408021</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活动，并作如下承诺：</w:t>
      </w:r>
    </w:p>
    <w:p>
      <w:pP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1.我公司所供产品均为原厂生产或正规销售渠道进货。如采购人需要，可以提供原生产厂家到我公司的完整供应链销售凭证。</w:t>
      </w:r>
    </w:p>
    <w:p>
      <w:pP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p>
    <w:p>
      <w:pP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pP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pPr>
        <w:pStyle w:val="4"/>
        <w:jc w:val="center"/>
        <w:rPr>
          <w:sz w:val="32"/>
          <w:szCs w:val="32"/>
        </w:rPr>
      </w:pPr>
      <w:r>
        <w:rPr>
          <w:rFonts w:hint="eastAsia"/>
          <w:sz w:val="32"/>
          <w:szCs w:val="32"/>
        </w:rPr>
        <w:t>一 、 报价函</w:t>
      </w:r>
    </w:p>
    <w:p>
      <w:pPr>
        <w:pStyle w:val="6"/>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pPr>
        <w:pStyle w:val="28"/>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2024年临江公司碱液脱酸系统备件采购项目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202408021</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3"/>
          <w:sz w:val="24"/>
          <w:lang w:eastAsia="zh-CN"/>
        </w:rPr>
        <w:t>，</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w:t>
      </w:r>
      <w:r>
        <w:rPr>
          <w:rFonts w:hint="eastAsia" w:ascii="宋体" w:hAnsi="宋体" w:eastAsia="宋体" w:cs="宋体"/>
          <w:sz w:val="24"/>
          <w:lang w:eastAsia="zh-CN"/>
        </w:rPr>
        <w:t>，</w:t>
      </w:r>
      <w:r>
        <w:rPr>
          <w:rFonts w:hint="eastAsia" w:ascii="宋体" w:hAnsi="宋体" w:eastAsia="宋体" w:cs="宋体"/>
          <w:sz w:val="24"/>
        </w:rPr>
        <w:t>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z w:val="24"/>
          <w:szCs w:val="24"/>
          <w:lang w:eastAsia="zh-CN"/>
        </w:rPr>
        <w:t>（</w:t>
      </w:r>
      <w:r>
        <w:rPr>
          <w:rFonts w:hint="eastAsia" w:cs="仿宋" w:asciiTheme="minorEastAsia" w:hAnsiTheme="minorEastAsia"/>
          <w:b/>
          <w:bCs/>
          <w:sz w:val="24"/>
          <w:szCs w:val="24"/>
          <w:lang w:val="en-US" w:eastAsia="zh-CN"/>
        </w:rPr>
        <w:t>发票仅接收货物类发票，不接受工程类或服务类发票</w:t>
      </w:r>
      <w:r>
        <w:rPr>
          <w:rFonts w:hint="eastAsia" w:ascii="宋体" w:hAnsi="宋体" w:eastAsia="宋体" w:cs="宋体"/>
          <w:sz w:val="24"/>
          <w:szCs w:val="24"/>
          <w:lang w:eastAsia="zh-CN"/>
        </w:rPr>
        <w:t>）</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pPr>
        <w:pStyle w:val="28"/>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w:t>
      </w:r>
      <w:r>
        <w:rPr>
          <w:rFonts w:hint="eastAsia" w:ascii="宋体" w:hAnsi="宋体" w:eastAsia="宋体" w:cs="宋体"/>
          <w:spacing w:val="-4"/>
          <w:sz w:val="24"/>
          <w:lang w:eastAsia="zh-CN"/>
        </w:rPr>
        <w:t>（</w:t>
      </w:r>
      <w:r>
        <w:rPr>
          <w:rFonts w:hint="eastAsia" w:ascii="宋体" w:hAnsi="宋体" w:eastAsia="宋体" w:cs="宋体"/>
          <w:spacing w:val="-4"/>
          <w:sz w:val="24"/>
        </w:rPr>
        <w:t>如需要修改</w:t>
      </w:r>
      <w:r>
        <w:rPr>
          <w:rFonts w:hint="eastAsia" w:ascii="宋体" w:hAnsi="宋体" w:eastAsia="宋体" w:cs="宋体"/>
          <w:spacing w:val="-4"/>
          <w:sz w:val="24"/>
          <w:lang w:eastAsia="zh-CN"/>
        </w:rPr>
        <w:t>）</w:t>
      </w:r>
      <w:r>
        <w:rPr>
          <w:rFonts w:hint="eastAsia" w:ascii="宋体" w:hAnsi="宋体" w:eastAsia="宋体" w:cs="宋体"/>
          <w:spacing w:val="-4"/>
          <w:sz w:val="24"/>
        </w:rPr>
        <w:t>以及全部参考资料和有关附件。</w:t>
      </w:r>
      <w:r>
        <w:rPr>
          <w:rFonts w:hint="eastAsia" w:ascii="宋体" w:hAnsi="宋体" w:eastAsia="宋体" w:cs="宋体"/>
          <w:spacing w:val="-3"/>
          <w:sz w:val="24"/>
        </w:rPr>
        <w:t>我们完全理解并同意放弃对这方面有不明及误解的权利。</w:t>
      </w:r>
    </w:p>
    <w:p>
      <w:pPr>
        <w:pStyle w:val="28"/>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pPr>
        <w:pStyle w:val="6"/>
        <w:ind w:firstLine="480" w:firstLineChars="200"/>
        <w:jc w:val="left"/>
        <w:rPr>
          <w:rFonts w:hAnsi="宋体" w:cs="宋体"/>
        </w:rPr>
      </w:pPr>
    </w:p>
    <w:p>
      <w:pPr>
        <w:pStyle w:val="6"/>
        <w:ind w:firstLine="480" w:firstLineChars="200"/>
        <w:jc w:val="left"/>
        <w:rPr>
          <w:rFonts w:hAnsi="宋体" w:cs="宋体"/>
        </w:rPr>
      </w:pPr>
    </w:p>
    <w:p>
      <w:pPr>
        <w:pStyle w:val="6"/>
        <w:jc w:val="left"/>
        <w:rPr>
          <w:rFonts w:hAnsi="宋体" w:cs="宋体"/>
        </w:rPr>
      </w:pPr>
      <w:r>
        <w:rPr>
          <w:rFonts w:hint="eastAsia" w:hAnsi="宋体" w:cs="宋体"/>
        </w:rPr>
        <w:t>供应商名称：（盖单位公章）</w:t>
      </w:r>
    </w:p>
    <w:p>
      <w:pPr>
        <w:pStyle w:val="6"/>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pPr>
        <w:pStyle w:val="6"/>
        <w:tabs>
          <w:tab w:val="left" w:pos="4101"/>
        </w:tabs>
        <w:jc w:val="left"/>
        <w:rPr>
          <w:rFonts w:hAnsi="宋体" w:cs="宋体"/>
        </w:rPr>
      </w:pPr>
      <w:r>
        <w:rPr>
          <w:rFonts w:hint="eastAsia" w:hAnsi="宋体" w:cs="宋体"/>
        </w:rPr>
        <w:t>地址：</w:t>
      </w:r>
    </w:p>
    <w:p>
      <w:pPr>
        <w:pStyle w:val="6"/>
        <w:tabs>
          <w:tab w:val="left" w:pos="4101"/>
        </w:tabs>
        <w:jc w:val="left"/>
        <w:rPr>
          <w:rFonts w:hAnsi="宋体" w:cs="宋体"/>
        </w:rPr>
      </w:pPr>
      <w:r>
        <w:rPr>
          <w:rFonts w:hint="eastAsia" w:hAnsi="宋体" w:cs="宋体"/>
        </w:rPr>
        <w:t>电话</w:t>
      </w:r>
      <w:r>
        <w:rPr>
          <w:rFonts w:hint="eastAsia" w:hAnsi="宋体" w:cs="宋体"/>
          <w:spacing w:val="-17"/>
        </w:rPr>
        <w:t>：</w:t>
      </w:r>
    </w:p>
    <w:p>
      <w:pPr>
        <w:rPr>
          <w:rFonts w:ascii="宋体" w:hAnsi="宋体" w:cs="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szCs w:val="21"/>
        </w:rPr>
        <w:t>日 期 ： 年 月 日</w:t>
      </w:r>
    </w:p>
    <w:p>
      <w:pPr>
        <w:pStyle w:val="29"/>
        <w:keepNext w:val="0"/>
        <w:pageBreakBefore w:val="0"/>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482"/>
        <w:rPr>
          <w:rFonts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2024年临江公司碱液脱酸系统备件采购项目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202408021</w:t>
      </w:r>
      <w:r>
        <w:rPr>
          <w:rFonts w:hint="eastAsia" w:cs="仿宋" w:asciiTheme="minorEastAsia" w:hAnsiTheme="minorEastAsia"/>
          <w:sz w:val="24"/>
          <w:u w:val="single"/>
        </w:rPr>
        <w:t>】</w:t>
      </w:r>
      <w:r>
        <w:rPr>
          <w:rFonts w:hint="eastAsia" w:cs="仿宋" w:asciiTheme="minorEastAsia" w:hAnsiTheme="minorEastAsia"/>
          <w:sz w:val="24"/>
        </w:rPr>
        <w:t>的实施</w:t>
      </w:r>
      <w:r>
        <w:rPr>
          <w:rFonts w:hint="eastAsia" w:cs="仿宋" w:asciiTheme="minorEastAsia" w:hAnsiTheme="minorEastAsia"/>
          <w:kern w:val="0"/>
          <w:sz w:val="24"/>
          <w:lang w:val="zh-CN"/>
        </w:rPr>
        <w:t>。</w:t>
      </w:r>
    </w:p>
    <w:p>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tbl>
      <w:tblPr>
        <w:tblStyle w:val="15"/>
        <w:tblW w:w="139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3"/>
        <w:gridCol w:w="1611"/>
        <w:gridCol w:w="616"/>
        <w:gridCol w:w="5014"/>
        <w:gridCol w:w="1173"/>
        <w:gridCol w:w="900"/>
        <w:gridCol w:w="845"/>
        <w:gridCol w:w="1023"/>
        <w:gridCol w:w="22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序号</w:t>
            </w: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物资名称</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品牌</w:t>
            </w:r>
          </w:p>
        </w:tc>
        <w:tc>
          <w:tcPr>
            <w:tcW w:w="50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型号规格</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单位</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数量</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单价（元）</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总计（元）</w:t>
            </w:r>
          </w:p>
        </w:tc>
        <w:tc>
          <w:tcPr>
            <w:tcW w:w="22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不锈钢钢管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φ32*3.5 材质：316L</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米</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482</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restart"/>
            <w:tcBorders>
              <w:top w:val="single" w:color="000000" w:sz="4" w:space="0"/>
              <w:left w:val="single" w:color="000000" w:sz="4" w:space="0"/>
              <w:right w:val="single" w:color="000000" w:sz="4" w:space="0"/>
            </w:tcBorders>
            <w:shd w:val="clear" w:color="auto" w:fill="auto"/>
            <w:noWrap/>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b/>
                <w:bCs/>
                <w:snapToGrid w:val="0"/>
                <w:szCs w:val="21"/>
                <w:lang w:val="en-US" w:eastAsia="zh-CN"/>
              </w:rPr>
              <w:t>材料报价包含改造安装过程中所有的油漆、工具、辅材、人工、脚手架及其他安全措施费。</w:t>
            </w:r>
            <w:r>
              <w:rPr>
                <w:rFonts w:hint="default" w:ascii="宋体" w:hAnsi="宋体" w:eastAsia="宋体" w:cs="宋体"/>
                <w:b/>
                <w:bCs/>
                <w:snapToGrid w:val="0"/>
                <w:szCs w:val="21"/>
                <w:lang w:val="en-US" w:eastAsia="zh-CN"/>
              </w:rPr>
              <w:t>液碱制备间至反应塔底的管道标高为+5米，反应塔底爬升至反应塔顶的标高为+37.156米，反应塔顶管道水平布置，反应塔顶环境温度约50℃</w:t>
            </w:r>
            <w:r>
              <w:rPr>
                <w:rFonts w:hint="eastAsia" w:ascii="宋体" w:hAnsi="宋体" w:eastAsia="宋体" w:cs="宋体"/>
                <w:b/>
                <w:bCs/>
                <w:snapToGrid w:val="0"/>
                <w:szCs w:val="21"/>
                <w:lang w:val="en-US" w:eastAsia="zh-CN"/>
              </w:rPr>
              <w:t>，供应商自行考虑作业条件，或到现场确认作业环境。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等径三通</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φ32*3.5 材质：316L</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20</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法兰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DN25  PN16 304不锈钢</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60</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4</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法兰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DN15  PN16 304不锈钢</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30</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液碱输送泵</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格兰富</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型号：CR10-9A-FJ-A-E-HQQE 功率：3KW 流量：10m³/h 扬程：72.3m 最大扬程：91.8m  转速2902r/min 介质：30%氢氧化钠溶液 过流件耐酸耐碱</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6</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不锈钢压力表</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型号：Y-150B-FZ φ150，径向，精度1.6%，全密封型，安全玻璃，表壳材质304，IP65，充油耐震型，介质20%氢氧化钠，常温，压力1MPa，量程范围0~1.6MPa，过程连接G3/8 外螺纹</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8</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7</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压力变送器</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罗斯蒙特</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型号：3051GP2A2B21BM5HR5(配316材质1/4NPT外转换14转换接头) 迁移量100%，电源24VDC，精度0.075%，输出信号4~20mA+HART,两线制，电气接口规格M20*1.5，IP66，带LCD显示，介质:30%氢氧化钠，温度:常温，压力:0.3MPa，测量范围:0~1.6Mpa，过程连接NPT1/2"内螺纹:过流部件:316L</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8</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电磁流量计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正常流量1.5m³/h，最大流量：3m³/h，刻度流量0~5m³/h ，内部材料：PTFE或同等材料；电极：316L；精确度±1%，电源：220VAC 50Hz，防护等级：IP65，输出： 4~20mA HART + 脉冲 无源，液晶显示，瞬时量、累积量，参数可调，工艺介质：30%氢氧化钠、 常温；法兰连接，GB9119-2010，DN25 PN1.6</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6</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9</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气动调节阀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型号：ZXP-16R DN25 PN16 工艺介质：30%氢氧化钠、 常温 最小/常用/最大流量m³/h：0.1/1.5/3 阀前/阀后压力MPa: 0.45/0.3 管道直径：DN25 过程连接：法兰连接 供电电源：24V 精度0.5级 带输入信号、反馈信号4-20mA 带位置反馈、集成智能定位器 不防爆、电气连接：M20*1.5</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6</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止回阀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型号：H61W-16P  DN25 PN16 连接形式：焊接 材质:304 密封材料：PTFE</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8</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11</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气动关断阀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 xml:space="preserve">型号：Q641F-16 DN25 PN16 阀体材质：304 工艺介质：20%氢氧化钠  过程连接：法兰连接 供电电源：24V  带输入信号、反馈信号4-20mA 带位置反馈 </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6</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12</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手动球阀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型号：Q61F-16P DN15 材质：304 介质：30%氢氧化钠溶液</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13</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手动球阀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型号：Q61F-16P DN25 材质：304 介质：30%氢氧化钠溶液</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20</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14</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型号：ZR-YJV-0.6/1KV 芯数截面：1(4*2.5)</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米</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500</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型号：ZR-KVVP-0.45/0.75kV 芯数截面：1(4*1.0)</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米</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150</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16</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型号：ZR-KVVP-0.45/0.75kV 芯数截面：1(6*1.0)</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米</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150</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17</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型号：ZR-DJYPVP-0.3/0.5kV 芯数截面：1(1*2*1.0)</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米</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500</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18</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型号：ZR-DJYPVP-0.3/0.5kV 芯数截面：1(2*2*1.0)</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米</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900</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19</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型号：ZR-KVVP-0.45/0.75kV 芯数截面：1(6*1.0)</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米</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900</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20</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型号：ZR-DJYPVP-0.3/0.5kV 芯数截面：1(1*2*1.0)</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米</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900</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1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snapToGrid w:val="0"/>
                <w:szCs w:val="21"/>
                <w:lang w:val="en-US" w:eastAsia="zh-CN"/>
              </w:rPr>
            </w:pPr>
            <w:r>
              <w:rPr>
                <w:rFonts w:hint="eastAsia" w:cs="仿宋" w:asciiTheme="minorEastAsia" w:hAnsiTheme="minorEastAsia"/>
                <w:b/>
                <w:sz w:val="21"/>
                <w:szCs w:val="21"/>
              </w:rPr>
              <w:t>响应报价合计（小写）</w:t>
            </w:r>
          </w:p>
        </w:tc>
        <w:tc>
          <w:tcPr>
            <w:tcW w:w="504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1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1"/>
                <w:szCs w:val="21"/>
              </w:rPr>
            </w:pPr>
            <w:r>
              <w:rPr>
                <w:rFonts w:hint="eastAsia" w:cs="仿宋" w:asciiTheme="minorEastAsia" w:hAnsiTheme="minorEastAsia"/>
                <w:b/>
                <w:sz w:val="21"/>
                <w:szCs w:val="21"/>
              </w:rPr>
              <w:t>响应报价合计（大写）</w:t>
            </w:r>
          </w:p>
        </w:tc>
        <w:tc>
          <w:tcPr>
            <w:tcW w:w="504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1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1"/>
                <w:szCs w:val="21"/>
              </w:rPr>
            </w:pPr>
            <w:r>
              <w:rPr>
                <w:rFonts w:hint="eastAsia" w:cs="仿宋" w:asciiTheme="minorEastAsia" w:hAnsiTheme="minorEastAsia"/>
                <w:b/>
                <w:sz w:val="21"/>
                <w:szCs w:val="21"/>
              </w:rPr>
              <w:t>税率</w:t>
            </w:r>
          </w:p>
        </w:tc>
        <w:tc>
          <w:tcPr>
            <w:tcW w:w="504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cs="仿宋" w:asciiTheme="minorEastAsia" w:hAnsiTheme="minorEastAsia"/>
                <w:sz w:val="24"/>
                <w:u w:val="single"/>
              </w:rPr>
              <w:t xml:space="preserve">    </w:t>
            </w:r>
            <w:r>
              <w:rPr>
                <w:rFonts w:hint="eastAsia" w:cs="仿宋" w:asciiTheme="minorEastAsia" w:hAnsiTheme="minorEastAsia"/>
                <w:sz w:val="24"/>
              </w:rPr>
              <w:t xml:space="preserve"> %</w:t>
            </w:r>
            <w:r>
              <w:rPr>
                <w:rFonts w:hint="eastAsia" w:cs="仿宋" w:asciiTheme="minorEastAsia" w:hAnsiTheme="minorEastAsia"/>
                <w:b/>
                <w:bCs/>
                <w:sz w:val="21"/>
                <w:szCs w:val="21"/>
                <w:lang w:eastAsia="zh-CN"/>
              </w:rPr>
              <w:t>（</w:t>
            </w:r>
            <w:r>
              <w:rPr>
                <w:rFonts w:hint="eastAsia" w:cs="仿宋" w:asciiTheme="minorEastAsia" w:hAnsiTheme="minorEastAsia"/>
                <w:b/>
                <w:bCs/>
                <w:sz w:val="21"/>
                <w:szCs w:val="21"/>
                <w:lang w:val="en-US" w:eastAsia="zh-CN"/>
              </w:rPr>
              <w:t>发票仅接收货物类发票，不接受工程类或服务类发票</w:t>
            </w:r>
            <w:r>
              <w:rPr>
                <w:rFonts w:hint="eastAsia" w:cs="仿宋" w:asciiTheme="minorEastAsia" w:hAnsiTheme="minorEastAsia"/>
                <w:b/>
                <w:bCs/>
                <w:sz w:val="21"/>
                <w:szCs w:val="21"/>
                <w:lang w:eastAsia="zh-CN"/>
              </w:rPr>
              <w:t>）</w:t>
            </w:r>
          </w:p>
        </w:tc>
      </w:tr>
    </w:tbl>
    <w:p>
      <w:pPr>
        <w:spacing w:line="360" w:lineRule="auto"/>
        <w:jc w:val="center"/>
        <w:rPr>
          <w:rFonts w:hint="eastAsia" w:cs="仿宋" w:asciiTheme="minorEastAsia" w:hAnsiTheme="minorEastAsia"/>
          <w:b/>
          <w:kern w:val="0"/>
          <w:sz w:val="24"/>
          <w:lang w:val="zh-CN"/>
        </w:rPr>
      </w:pPr>
    </w:p>
    <w:p>
      <w:pPr>
        <w:snapToGrid w:val="0"/>
        <w:spacing w:line="360" w:lineRule="auto"/>
        <w:rPr>
          <w:rFonts w:ascii="宋体" w:hAnsi="宋体" w:cs="宋体"/>
          <w:kern w:val="0"/>
          <w:sz w:val="24"/>
          <w:lang w:val="zh-CN"/>
        </w:rPr>
      </w:pPr>
      <w:r>
        <w:rPr>
          <w:rFonts w:hint="eastAsia" w:cs="仿宋" w:asciiTheme="minorEastAsia" w:hAnsiTheme="minorEastAsia"/>
          <w:b/>
          <w:kern w:val="0"/>
          <w:sz w:val="24"/>
          <w:lang w:val="zh-CN"/>
        </w:rPr>
        <w:t>注：</w:t>
      </w: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pP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pPr>
        <w:snapToGrid w:val="0"/>
        <w:spacing w:line="360" w:lineRule="auto"/>
        <w:ind w:firstLine="480" w:firstLineChars="200"/>
        <w:jc w:val="left"/>
      </w:pPr>
      <w:r>
        <w:rPr>
          <w:rFonts w:hint="eastAsia" w:ascii="宋体" w:hAnsi="宋体" w:cs="宋体"/>
          <w:kern w:val="0"/>
          <w:sz w:val="24"/>
          <w:lang w:val="en-US" w:eastAsia="zh-CN"/>
        </w:rPr>
        <w:t>3</w:t>
      </w:r>
      <w:r>
        <w:rPr>
          <w:rFonts w:hint="eastAsia" w:ascii="宋体" w:hAnsi="宋体" w:cs="宋体"/>
          <w:kern w:val="0"/>
          <w:sz w:val="24"/>
          <w:lang w:val="zh-CN"/>
        </w:rPr>
        <w:t>、特别提示：采购人将对项目名称和项目编号，成交供应商名称、成交金额予以公示。</w:t>
      </w:r>
    </w:p>
    <w:p>
      <w:pPr>
        <w:pStyle w:val="6"/>
      </w:pPr>
    </w:p>
    <w:p>
      <w:p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pPr>
        <w:spacing w:line="360" w:lineRule="auto"/>
        <w:jc w:val="center"/>
        <w:rPr>
          <w:rFonts w:cs="仿宋" w:asciiTheme="minorEastAsia" w:hAnsiTheme="minorEastAsia"/>
          <w:b/>
          <w:spacing w:val="6"/>
          <w:sz w:val="32"/>
          <w:szCs w:val="32"/>
        </w:rPr>
      </w:pPr>
      <w:bookmarkStart w:id="516" w:name="_Toc465665161"/>
      <w:r>
        <w:rPr>
          <w:rFonts w:hint="eastAsia" w:cs="宋体" w:asciiTheme="minorEastAsia" w:hAnsiTheme="minorEastAsia"/>
          <w:b/>
          <w:bCs/>
          <w:kern w:val="44"/>
          <w:sz w:val="44"/>
          <w:szCs w:val="44"/>
        </w:rPr>
        <w:t>附件</w:t>
      </w:r>
      <w:bookmarkEnd w:id="516"/>
    </w:p>
    <w:p>
      <w:pP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附件1</w:t>
      </w:r>
      <w:r>
        <w:rPr>
          <w:rFonts w:hint="eastAsia" w:ascii="宋体" w:hAnsi="宋体" w:cs="宋体"/>
          <w:b/>
          <w:spacing w:val="6"/>
          <w:sz w:val="32"/>
          <w:szCs w:val="32"/>
        </w:rPr>
        <w:t>：</w:t>
      </w:r>
    </w:p>
    <w:p>
      <w:pP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pP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pP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pP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二、质疑项目基本情况</w:t>
      </w:r>
    </w:p>
    <w:p>
      <w:pP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三、质疑事项具体内容</w:t>
      </w:r>
    </w:p>
    <w:p>
      <w:pP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质疑事项2</w:t>
      </w:r>
    </w:p>
    <w:p>
      <w:pPr>
        <w:snapToGrid w:val="0"/>
        <w:spacing w:line="360" w:lineRule="auto"/>
        <w:rPr>
          <w:rFonts w:ascii="宋体" w:hAnsi="宋体" w:cs="宋体"/>
          <w:sz w:val="24"/>
        </w:rPr>
      </w:pPr>
      <w:r>
        <w:rPr>
          <w:rFonts w:hint="eastAsia" w:ascii="宋体" w:hAnsi="宋体" w:cs="宋体"/>
          <w:sz w:val="24"/>
        </w:rPr>
        <w:t>……</w:t>
      </w:r>
    </w:p>
    <w:p>
      <w:pPr>
        <w:snapToGrid w:val="0"/>
        <w:spacing w:line="360" w:lineRule="auto"/>
        <w:rPr>
          <w:rFonts w:ascii="宋体" w:hAnsi="宋体" w:cs="宋体"/>
          <w:bCs/>
          <w:sz w:val="24"/>
        </w:rPr>
      </w:pPr>
      <w:r>
        <w:rPr>
          <w:rFonts w:hint="eastAsia" w:ascii="宋体" w:hAnsi="宋体" w:cs="宋体"/>
          <w:bCs/>
          <w:sz w:val="24"/>
        </w:rPr>
        <w:t>四、与质疑事项相关的质疑请求</w:t>
      </w:r>
    </w:p>
    <w:p>
      <w:pP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pPr>
        <w:spacing w:line="360" w:lineRule="auto"/>
        <w:rPr>
          <w:rFonts w:ascii="宋体" w:hAnsi="宋体" w:cs="宋体"/>
          <w:sz w:val="24"/>
        </w:rPr>
      </w:pPr>
      <w:r>
        <w:rPr>
          <w:rFonts w:hint="eastAsia" w:ascii="宋体" w:hAnsi="宋体" w:cs="宋体"/>
          <w:sz w:val="24"/>
        </w:rPr>
        <w:t>签字</w:t>
      </w:r>
      <w:r>
        <w:rPr>
          <w:rFonts w:hint="eastAsia" w:ascii="宋体" w:hAnsi="宋体" w:cs="宋体"/>
          <w:sz w:val="24"/>
          <w:lang w:eastAsia="zh-CN"/>
        </w:rPr>
        <w:t>（</w:t>
      </w:r>
      <w:r>
        <w:rPr>
          <w:rFonts w:hint="eastAsia" w:ascii="宋体" w:hAnsi="宋体" w:cs="宋体"/>
          <w:sz w:val="24"/>
        </w:rPr>
        <w:t>签章</w:t>
      </w:r>
      <w:r>
        <w:rPr>
          <w:rFonts w:hint="eastAsia" w:ascii="宋体" w:hAnsi="宋体" w:cs="宋体"/>
          <w:sz w:val="24"/>
          <w:lang w:eastAsia="zh-CN"/>
        </w:rPr>
        <w:t>）</w:t>
      </w:r>
      <w:r>
        <w:rPr>
          <w:rFonts w:hint="eastAsia" w:ascii="宋体" w:hAnsi="宋体" w:cs="宋体"/>
          <w:sz w:val="24"/>
        </w:rPr>
        <w:t xml:space="preserve">：                   公章：                      </w:t>
      </w:r>
    </w:p>
    <w:p>
      <w:pPr>
        <w:spacing w:line="360" w:lineRule="auto"/>
        <w:rPr>
          <w:rFonts w:ascii="宋体" w:hAnsi="宋体" w:cs="宋体"/>
          <w:sz w:val="24"/>
        </w:rPr>
      </w:pPr>
      <w:r>
        <w:rPr>
          <w:rFonts w:hint="eastAsia" w:ascii="宋体" w:hAnsi="宋体" w:cs="宋体"/>
          <w:sz w:val="24"/>
        </w:rPr>
        <w:t xml:space="preserve">日期：    </w:t>
      </w:r>
    </w:p>
    <w:p>
      <w:pPr>
        <w:spacing w:line="360" w:lineRule="auto"/>
        <w:jc w:val="center"/>
        <w:rPr>
          <w:rFonts w:ascii="宋体" w:hAnsi="宋体" w:cs="宋体"/>
          <w:b/>
          <w:bCs/>
          <w:sz w:val="24"/>
        </w:rPr>
      </w:pPr>
    </w:p>
    <w:p>
      <w:pPr>
        <w:spacing w:line="360" w:lineRule="auto"/>
        <w:rPr>
          <w:rFonts w:ascii="宋体" w:hAnsi="宋体" w:cs="宋体"/>
          <w:b/>
          <w:sz w:val="24"/>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pStyle w:val="11"/>
      </w:pPr>
    </w:p>
    <w:p>
      <w:pPr>
        <w:spacing w:line="360" w:lineRule="auto"/>
        <w:rPr>
          <w:rFonts w:ascii="宋体" w:hAnsi="宋体" w:cs="宋体"/>
          <w:b/>
          <w:sz w:val="24"/>
        </w:rPr>
      </w:pPr>
      <w:r>
        <w:rPr>
          <w:rFonts w:hint="eastAsia" w:ascii="宋体" w:hAnsi="宋体" w:cs="宋体"/>
          <w:b/>
          <w:sz w:val="24"/>
        </w:rPr>
        <w:t>质疑函制作说明：</w:t>
      </w:r>
    </w:p>
    <w:p>
      <w:pPr>
        <w:widowControl/>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pPr>
        <w:widowControl/>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pPr>
        <w:widowControl/>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pPr>
        <w:widowControl/>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pPr>
        <w:widowControl/>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pPr>
        <w:widowControl/>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pPr>
        <w:widowControl/>
        <w:spacing w:line="360" w:lineRule="auto"/>
        <w:ind w:firstLine="600" w:firstLineChars="200"/>
        <w:jc w:val="left"/>
        <w:rPr>
          <w:rFonts w:ascii="宋体" w:hAnsi="宋体" w:cs="宋体"/>
          <w:sz w:val="30"/>
          <w:szCs w:val="30"/>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附件2：</w:t>
      </w:r>
    </w:p>
    <w:p>
      <w:pP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pP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w:t>
      </w:r>
      <w:r>
        <w:rPr>
          <w:rFonts w:hint="eastAsia" w:cs="仿宋" w:asciiTheme="minorEastAsia" w:hAnsiTheme="minorEastAsia"/>
          <w:sz w:val="24"/>
          <w:lang w:eastAsia="zh-CN"/>
        </w:rPr>
        <w:t>（</w:t>
      </w:r>
      <w:r>
        <w:rPr>
          <w:rFonts w:hint="eastAsia" w:cs="仿宋" w:asciiTheme="minorEastAsia" w:hAnsiTheme="minorEastAsia"/>
          <w:sz w:val="24"/>
        </w:rPr>
        <w:t>供应商全称</w:t>
      </w:r>
      <w:r>
        <w:rPr>
          <w:rFonts w:hint="eastAsia" w:cs="仿宋" w:asciiTheme="minorEastAsia" w:hAnsiTheme="minorEastAsia"/>
          <w:sz w:val="24"/>
          <w:lang w:eastAsia="zh-CN"/>
        </w:rPr>
        <w:t>）</w:t>
      </w:r>
      <w:r>
        <w:rPr>
          <w:rFonts w:hint="eastAsia" w:cs="仿宋" w:asciiTheme="minorEastAsia" w:hAnsiTheme="minorEastAsia"/>
          <w:sz w:val="24"/>
        </w:rPr>
        <w:t>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2024年临江公司碱液脱酸系统备件采购项目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202408021</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w:t>
      </w:r>
      <w:r>
        <w:rPr>
          <w:rFonts w:hint="eastAsia" w:cs="仿宋" w:asciiTheme="minorEastAsia" w:hAnsiTheme="minorEastAsia"/>
          <w:bCs/>
          <w:sz w:val="24"/>
          <w:lang w:eastAsia="zh-CN"/>
        </w:rPr>
        <w:t>做如下</w:t>
      </w:r>
      <w:r>
        <w:rPr>
          <w:rFonts w:hint="eastAsia" w:cs="仿宋" w:asciiTheme="minorEastAsia" w:hAnsiTheme="minorEastAsia"/>
          <w:bCs/>
          <w:sz w:val="24"/>
        </w:rPr>
        <w:t>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pP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pPr>
        <w:rPr>
          <w:rFonts w:cs="仿宋" w:asciiTheme="minorEastAsia" w:hAnsiTheme="minorEastAsia"/>
          <w:sz w:val="24"/>
        </w:rPr>
      </w:pPr>
      <w:r>
        <w:rPr>
          <w:rFonts w:hint="eastAsia" w:cs="仿宋" w:asciiTheme="minorEastAsia" w:hAnsiTheme="minorEastAsia"/>
          <w:b/>
          <w:bCs/>
          <w:sz w:val="24"/>
        </w:rPr>
        <w:t>附：</w:t>
      </w:r>
    </w:p>
    <w:p>
      <w:pP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rPr>
          <w:rFonts w:cs="仿宋" w:asciiTheme="minorEastAsia" w:hAnsiTheme="minorEastAsia"/>
          <w:b/>
          <w:spacing w:val="6"/>
          <w:sz w:val="32"/>
          <w:szCs w:val="32"/>
        </w:rPr>
      </w:pPr>
    </w:p>
    <w:p>
      <w:pPr>
        <w:autoSpaceDE w:val="0"/>
        <w:autoSpaceDN w:val="0"/>
        <w:rPr>
          <w:rFonts w:cs="仿宋" w:asciiTheme="minorEastAsia" w:hAnsiTheme="minorEastAsia"/>
          <w:b/>
          <w:spacing w:val="6"/>
          <w:sz w:val="32"/>
          <w:szCs w:val="32"/>
        </w:rPr>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分包意向协议</w:t>
      </w:r>
    </w:p>
    <w:p>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2024年临江公司碱液脱酸系统备件采购项目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202408021</w:t>
      </w:r>
      <w:r>
        <w:rPr>
          <w:rFonts w:hint="eastAsia" w:cs="仿宋" w:asciiTheme="minorEastAsia" w:hAnsiTheme="minorEastAsia"/>
          <w:sz w:val="24"/>
          <w:u w:val="single"/>
        </w:rPr>
        <w:t>】</w:t>
      </w:r>
      <w:r>
        <w:rPr>
          <w:rFonts w:hint="eastAsia" w:cs="仿宋" w:asciiTheme="minorEastAsia" w:hAnsiTheme="minorEastAsia"/>
          <w:kern w:val="0"/>
          <w:sz w:val="24"/>
          <w:lang w:val="zh-CN"/>
        </w:rPr>
        <w:t>的成交供应商，将依法采取分包方式履行合同。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pPr>
        <w:pStyle w:val="3"/>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pP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pP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pP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pPr>
        <w:pStyle w:val="6"/>
      </w:pPr>
    </w:p>
    <w:p>
      <w:pPr>
        <w:pStyle w:val="14"/>
      </w:pPr>
    </w:p>
    <w:p>
      <w:pPr>
        <w:pStyle w:val="12"/>
      </w:pPr>
    </w:p>
    <w:p/>
    <w:p>
      <w:pPr>
        <w:pStyle w:val="8"/>
        <w:spacing w:before="100" w:beforeAutospacing="1" w:after="100" w:afterAutospacing="1" w:line="360" w:lineRule="auto"/>
        <w:jc w:val="both"/>
        <w:rPr>
          <w:rFonts w:hint="eastAsia" w:hAnsi="宋体" w:cs="宋体" w:eastAsiaTheme="minorEastAsia"/>
          <w:b/>
          <w:sz w:val="32"/>
          <w:szCs w:val="32"/>
          <w:lang w:eastAsia="zh-CN"/>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r>
        <w:rPr>
          <w:rFonts w:hint="eastAsia" w:hAnsi="宋体" w:cs="宋体"/>
          <w:b/>
          <w:sz w:val="32"/>
          <w:szCs w:val="32"/>
          <w:lang w:eastAsia="zh-CN"/>
        </w:rPr>
        <w:t>（</w:t>
      </w:r>
      <w:r>
        <w:rPr>
          <w:rFonts w:hint="eastAsia" w:hAnsi="宋体" w:cs="宋体"/>
          <w:b/>
          <w:sz w:val="32"/>
          <w:szCs w:val="32"/>
          <w:lang w:val="en-US" w:eastAsia="zh-CN"/>
        </w:rPr>
        <w:t>单独提供</w:t>
      </w:r>
      <w:r>
        <w:rPr>
          <w:rFonts w:hint="eastAsia" w:hAnsi="宋体" w:cs="宋体"/>
          <w:b/>
          <w:sz w:val="32"/>
          <w:szCs w:val="32"/>
          <w:lang w:eastAsia="zh-CN"/>
        </w:rPr>
        <w:t>）</w:t>
      </w:r>
    </w:p>
    <w:p>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pP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2024年临江公司碱液脱酸系统备件采购项目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202408021</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4084"/>
        <w:gridCol w:w="1607"/>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pacing w:line="360" w:lineRule="auto"/>
              <w:jc w:val="center"/>
              <w:rPr>
                <w:rFonts w:ascii="宋体" w:hAnsi="宋体" w:cs="宋体"/>
                <w:sz w:val="24"/>
              </w:rPr>
            </w:pPr>
            <w:r>
              <w:rPr>
                <w:rFonts w:hint="eastAsia" w:ascii="宋体" w:hAnsi="宋体" w:cs="宋体"/>
                <w:sz w:val="24"/>
              </w:rPr>
              <w:t>申请人信息</w:t>
            </w:r>
          </w:p>
        </w:tc>
        <w:tc>
          <w:tcPr>
            <w:tcW w:w="6717" w:type="dxa"/>
            <w:gridSpan w:val="3"/>
            <w:vAlign w:val="center"/>
          </w:tcPr>
          <w:p>
            <w:pPr>
              <w:spacing w:line="360" w:lineRule="auto"/>
              <w:rPr>
                <w:rFonts w:ascii="宋体" w:hAnsi="宋体" w:cs="宋体"/>
                <w:sz w:val="24"/>
              </w:rPr>
            </w:pPr>
            <w:r>
              <w:rPr>
                <w:rFonts w:hint="eastAsia" w:ascii="宋体" w:hAnsi="宋体" w:cs="宋体"/>
                <w:sz w:val="24"/>
              </w:rPr>
              <w:t xml:space="preserve">供应商（加盖公章或财务专用章）：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4084" w:type="dxa"/>
            <w:vAlign w:val="center"/>
          </w:tcPr>
          <w:p>
            <w:pPr>
              <w:spacing w:line="360" w:lineRule="auto"/>
              <w:rPr>
                <w:rFonts w:ascii="宋体" w:hAnsi="宋体" w:cs="宋体"/>
                <w:sz w:val="24"/>
              </w:rPr>
            </w:pPr>
            <w:r>
              <w:rPr>
                <w:rFonts w:hint="eastAsia" w:ascii="宋体" w:hAnsi="宋体" w:cs="宋体"/>
                <w:sz w:val="24"/>
              </w:rPr>
              <w:t>财务联系人：</w:t>
            </w:r>
          </w:p>
        </w:tc>
        <w:tc>
          <w:tcPr>
            <w:tcW w:w="1607" w:type="dxa"/>
            <w:vAlign w:val="center"/>
          </w:tcPr>
          <w:p>
            <w:pPr>
              <w:spacing w:line="360" w:lineRule="auto"/>
              <w:rPr>
                <w:rFonts w:ascii="宋体" w:hAnsi="宋体" w:cs="宋体"/>
                <w:sz w:val="24"/>
              </w:rPr>
            </w:pPr>
            <w:r>
              <w:rPr>
                <w:rFonts w:hint="eastAsia" w:ascii="宋体" w:hAnsi="宋体" w:cs="宋体"/>
                <w:sz w:val="24"/>
              </w:rPr>
              <w:t>联系方式</w:t>
            </w:r>
          </w:p>
        </w:tc>
        <w:tc>
          <w:tcPr>
            <w:tcW w:w="1026"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4084" w:type="dxa"/>
            <w:vAlign w:val="center"/>
          </w:tcPr>
          <w:p>
            <w:pPr>
              <w:spacing w:line="360" w:lineRule="auto"/>
              <w:rPr>
                <w:rFonts w:ascii="宋体" w:hAnsi="宋体" w:cs="宋体"/>
                <w:sz w:val="24"/>
              </w:rPr>
            </w:pPr>
            <w:r>
              <w:rPr>
                <w:rFonts w:hint="eastAsia" w:ascii="宋体" w:hAnsi="宋体" w:cs="宋体"/>
                <w:sz w:val="24"/>
              </w:rPr>
              <w:t>项目负责人：</w:t>
            </w:r>
          </w:p>
        </w:tc>
        <w:tc>
          <w:tcPr>
            <w:tcW w:w="1607" w:type="dxa"/>
            <w:vAlign w:val="center"/>
          </w:tcPr>
          <w:p>
            <w:pPr>
              <w:spacing w:line="360" w:lineRule="auto"/>
              <w:rPr>
                <w:rFonts w:ascii="宋体" w:hAnsi="宋体" w:cs="宋体"/>
                <w:sz w:val="24"/>
              </w:rPr>
            </w:pPr>
            <w:r>
              <w:rPr>
                <w:rFonts w:hint="eastAsia" w:ascii="宋体" w:hAnsi="宋体" w:cs="宋体"/>
                <w:sz w:val="24"/>
              </w:rPr>
              <w:t>联系方式</w:t>
            </w:r>
          </w:p>
        </w:tc>
        <w:tc>
          <w:tcPr>
            <w:tcW w:w="1026"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保证金金额（大写）：人民币</w:t>
            </w:r>
          </w:p>
          <w:p>
            <w:pPr>
              <w:spacing w:line="360" w:lineRule="auto"/>
              <w:rPr>
                <w:rFonts w:ascii="宋体" w:hAnsi="宋体" w:cs="宋体"/>
                <w:sz w:val="24"/>
              </w:rPr>
            </w:pPr>
            <w:r>
              <w:rPr>
                <w:rFonts w:hint="eastAsia" w:ascii="宋体" w:hAnsi="宋体" w:cs="宋体"/>
                <w:sz w:val="24"/>
              </w:rPr>
              <w:t xml:space="preserve">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保证金提交形式： □转账支票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pacing w:line="360" w:lineRule="auto"/>
              <w:jc w:val="center"/>
              <w:rPr>
                <w:rFonts w:ascii="宋体" w:hAnsi="宋体" w:cs="宋体"/>
                <w:sz w:val="24"/>
              </w:rPr>
            </w:pPr>
            <w:r>
              <w:rPr>
                <w:rFonts w:hint="eastAsia" w:ascii="宋体" w:hAnsi="宋体" w:cs="宋体"/>
                <w:sz w:val="24"/>
              </w:rPr>
              <w:t>退还账户信息</w:t>
            </w:r>
          </w:p>
        </w:tc>
        <w:tc>
          <w:tcPr>
            <w:tcW w:w="6717" w:type="dxa"/>
            <w:gridSpan w:val="3"/>
            <w:vAlign w:val="center"/>
          </w:tcPr>
          <w:p>
            <w:pPr>
              <w:spacing w:line="360" w:lineRule="auto"/>
              <w:rPr>
                <w:rFonts w:ascii="宋体" w:hAnsi="宋体" w:cs="宋体"/>
                <w:sz w:val="24"/>
              </w:rPr>
            </w:pPr>
            <w:r>
              <w:rPr>
                <w:rFonts w:hint="eastAsia" w:ascii="宋体" w:hAnsi="宋体" w:cs="宋体"/>
                <w:sz w:val="24"/>
              </w:rPr>
              <w:t xml:space="preserve">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rPr>
              <w:t>银行账号：</w:t>
            </w:r>
          </w:p>
        </w:tc>
      </w:tr>
    </w:tbl>
    <w:p>
      <w:pPr>
        <w:pStyle w:val="6"/>
        <w:rPr>
          <w:rFonts w:ascii="宋体" w:hAnsi="宋体" w:cs="宋体"/>
        </w:rPr>
      </w:pPr>
    </w:p>
    <w:p>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sz w:val="24"/>
        </w:rPr>
      </w:pPr>
      <w:r>
        <w:rPr>
          <w:rFonts w:hint="eastAsia" w:ascii="宋体" w:hAnsi="宋体" w:cs="宋体"/>
          <w:b/>
          <w:sz w:val="24"/>
        </w:rPr>
        <w:t>收 据</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2024年临江公司碱液脱酸系统备件采购项目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202408021</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rPr>
        <w:t xml:space="preserve">        </w:t>
      </w: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b/>
          <w:i/>
          <w:sz w:val="24"/>
        </w:rPr>
        <w:t>加盖公章或财务专用章</w:t>
      </w:r>
      <w:r>
        <w:rPr>
          <w:rFonts w:hint="eastAsia" w:ascii="宋体" w:hAnsi="宋体" w:cs="宋体"/>
          <w:sz w:val="24"/>
        </w:rPr>
        <w:t>）</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日期：                                                       </w:t>
      </w:r>
      <w:bookmarkStart w:id="517" w:name="_GoBack"/>
      <w:bookmarkEnd w:id="517"/>
      <w:r>
        <w:rPr>
          <w:rFonts w:hint="eastAsia" w:ascii="宋体" w:hAnsi="宋体" w:cs="宋体"/>
          <w:sz w:val="24"/>
        </w:rPr>
        <w:t xml:space="preserve">                </w:t>
      </w:r>
    </w:p>
    <w:p>
      <w:pPr>
        <w:pStyle w:val="8"/>
        <w:rPr>
          <w:rFonts w:hint="eastAsia" w:hAnsi="宋体" w:cs="宋体"/>
          <w:b/>
          <w:bCs/>
          <w:sz w:val="24"/>
        </w:rPr>
      </w:pPr>
    </w:p>
    <w:p>
      <w:pPr>
        <w:pStyle w:val="8"/>
        <w:rPr>
          <w:rFonts w:hint="eastAsia" w:hAnsi="宋体" w:cs="宋体"/>
          <w:b/>
          <w:bCs/>
          <w:sz w:val="24"/>
        </w:rPr>
      </w:pPr>
    </w:p>
    <w:p>
      <w:pPr>
        <w:pStyle w:val="8"/>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sectPr>
      <w:footerReference r:id="rId21"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pStyle w:val="9"/>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rFonts w:ascii="仿宋" w:hAnsi="仿宋" w:eastAsia="仿宋" w:cs="仿宋"/>
        <w:i/>
        <w:iCs/>
      </w:rPr>
    </w:pPr>
  </w:p>
  <w:p>
    <w:pPr>
      <w:pStyle w:val="10"/>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E40BEEEB"/>
    <w:multiLevelType w:val="singleLevel"/>
    <w:tmpl w:val="E40BEEEB"/>
    <w:lvl w:ilvl="0" w:tentative="0">
      <w:start w:val="4"/>
      <w:numFmt w:val="decimal"/>
      <w:suff w:val="nothing"/>
      <w:lvlText w:val="%1、"/>
      <w:lvlJc w:val="left"/>
    </w:lvl>
  </w:abstractNum>
  <w:abstractNum w:abstractNumId="2">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2MjU0MjliNzY2ZGMzMjFmYzlkOGM5YmYyZTk3YTcifQ=="/>
  </w:docVars>
  <w:rsids>
    <w:rsidRoot w:val="004E73AF"/>
    <w:rsid w:val="00211F61"/>
    <w:rsid w:val="00466F38"/>
    <w:rsid w:val="004E73AF"/>
    <w:rsid w:val="00505519"/>
    <w:rsid w:val="00816543"/>
    <w:rsid w:val="00935EC2"/>
    <w:rsid w:val="00C3645A"/>
    <w:rsid w:val="00D00625"/>
    <w:rsid w:val="00DF3633"/>
    <w:rsid w:val="00E81C9E"/>
    <w:rsid w:val="013853AC"/>
    <w:rsid w:val="01603505"/>
    <w:rsid w:val="023E1286"/>
    <w:rsid w:val="029C7664"/>
    <w:rsid w:val="030669ED"/>
    <w:rsid w:val="032B7E17"/>
    <w:rsid w:val="034B5FC8"/>
    <w:rsid w:val="03CA5C6D"/>
    <w:rsid w:val="04E634F4"/>
    <w:rsid w:val="057311F3"/>
    <w:rsid w:val="05A4392C"/>
    <w:rsid w:val="05B622F4"/>
    <w:rsid w:val="06803F38"/>
    <w:rsid w:val="06897EFF"/>
    <w:rsid w:val="07013F3A"/>
    <w:rsid w:val="078B333A"/>
    <w:rsid w:val="07A67451"/>
    <w:rsid w:val="07C24B12"/>
    <w:rsid w:val="07D15ABF"/>
    <w:rsid w:val="087E795F"/>
    <w:rsid w:val="09104908"/>
    <w:rsid w:val="09EC7123"/>
    <w:rsid w:val="09ED56C9"/>
    <w:rsid w:val="0A4E3C28"/>
    <w:rsid w:val="0A911B05"/>
    <w:rsid w:val="0B530D41"/>
    <w:rsid w:val="0BF7590B"/>
    <w:rsid w:val="0BFE313E"/>
    <w:rsid w:val="0C177D5B"/>
    <w:rsid w:val="0C2A044F"/>
    <w:rsid w:val="0C492847"/>
    <w:rsid w:val="0CF31D21"/>
    <w:rsid w:val="0D89320B"/>
    <w:rsid w:val="0D8B0B2E"/>
    <w:rsid w:val="0EC870E3"/>
    <w:rsid w:val="0F111837"/>
    <w:rsid w:val="0F2F6501"/>
    <w:rsid w:val="0F81598B"/>
    <w:rsid w:val="0FB91E94"/>
    <w:rsid w:val="10C76755"/>
    <w:rsid w:val="11394A86"/>
    <w:rsid w:val="11B04EDA"/>
    <w:rsid w:val="11C46A46"/>
    <w:rsid w:val="11D64215"/>
    <w:rsid w:val="11F35B37"/>
    <w:rsid w:val="12D86145"/>
    <w:rsid w:val="12E110C3"/>
    <w:rsid w:val="135A601C"/>
    <w:rsid w:val="13AF5667"/>
    <w:rsid w:val="143E2438"/>
    <w:rsid w:val="14DF7D0B"/>
    <w:rsid w:val="152B7330"/>
    <w:rsid w:val="152C0D1B"/>
    <w:rsid w:val="15CB2DA0"/>
    <w:rsid w:val="16135A37"/>
    <w:rsid w:val="166F3635"/>
    <w:rsid w:val="16806E74"/>
    <w:rsid w:val="17AF353E"/>
    <w:rsid w:val="185870FA"/>
    <w:rsid w:val="185A544F"/>
    <w:rsid w:val="18890233"/>
    <w:rsid w:val="18A60DE5"/>
    <w:rsid w:val="190D49C0"/>
    <w:rsid w:val="198737C7"/>
    <w:rsid w:val="19976A31"/>
    <w:rsid w:val="19DC6BDA"/>
    <w:rsid w:val="1A4B1C44"/>
    <w:rsid w:val="1AA56FDE"/>
    <w:rsid w:val="1B1B25BA"/>
    <w:rsid w:val="1B7913A6"/>
    <w:rsid w:val="1D61352C"/>
    <w:rsid w:val="1D882867"/>
    <w:rsid w:val="1DCF6B00"/>
    <w:rsid w:val="1DFA0457"/>
    <w:rsid w:val="1E5F5CBE"/>
    <w:rsid w:val="1E8307F5"/>
    <w:rsid w:val="1F457921"/>
    <w:rsid w:val="20457135"/>
    <w:rsid w:val="20D12777"/>
    <w:rsid w:val="20FB672E"/>
    <w:rsid w:val="213339C4"/>
    <w:rsid w:val="21677697"/>
    <w:rsid w:val="21C81DCC"/>
    <w:rsid w:val="228D26CE"/>
    <w:rsid w:val="22916FA5"/>
    <w:rsid w:val="230E1A60"/>
    <w:rsid w:val="23922209"/>
    <w:rsid w:val="23C64579"/>
    <w:rsid w:val="247C6E9E"/>
    <w:rsid w:val="25650E5F"/>
    <w:rsid w:val="2569246D"/>
    <w:rsid w:val="25C26B32"/>
    <w:rsid w:val="26010880"/>
    <w:rsid w:val="26C2328E"/>
    <w:rsid w:val="26F15921"/>
    <w:rsid w:val="27725FDB"/>
    <w:rsid w:val="279027DB"/>
    <w:rsid w:val="28261749"/>
    <w:rsid w:val="28D92620"/>
    <w:rsid w:val="294E0F60"/>
    <w:rsid w:val="2987716A"/>
    <w:rsid w:val="29AE18A7"/>
    <w:rsid w:val="2A6366FF"/>
    <w:rsid w:val="2B3D5BF4"/>
    <w:rsid w:val="2C4141D8"/>
    <w:rsid w:val="2C950AFD"/>
    <w:rsid w:val="2D210C4A"/>
    <w:rsid w:val="2D856C21"/>
    <w:rsid w:val="2E7A56DC"/>
    <w:rsid w:val="2E9F315C"/>
    <w:rsid w:val="2E9F5DB1"/>
    <w:rsid w:val="2EBA484A"/>
    <w:rsid w:val="2F4D3609"/>
    <w:rsid w:val="2F5836E9"/>
    <w:rsid w:val="300206D5"/>
    <w:rsid w:val="30062480"/>
    <w:rsid w:val="30556F21"/>
    <w:rsid w:val="308C5F1F"/>
    <w:rsid w:val="30AF5EDA"/>
    <w:rsid w:val="31111553"/>
    <w:rsid w:val="31191AA6"/>
    <w:rsid w:val="314B6E80"/>
    <w:rsid w:val="326E6078"/>
    <w:rsid w:val="32843E96"/>
    <w:rsid w:val="32C410E7"/>
    <w:rsid w:val="32EC2577"/>
    <w:rsid w:val="334341C1"/>
    <w:rsid w:val="34155E66"/>
    <w:rsid w:val="34454474"/>
    <w:rsid w:val="34AF40BC"/>
    <w:rsid w:val="35C75880"/>
    <w:rsid w:val="36162BCB"/>
    <w:rsid w:val="364530C9"/>
    <w:rsid w:val="36483084"/>
    <w:rsid w:val="36A71B58"/>
    <w:rsid w:val="37103BA1"/>
    <w:rsid w:val="37514AF4"/>
    <w:rsid w:val="377C0298"/>
    <w:rsid w:val="37B04D36"/>
    <w:rsid w:val="37C65D75"/>
    <w:rsid w:val="37D2523E"/>
    <w:rsid w:val="37E66CE3"/>
    <w:rsid w:val="39C31C6C"/>
    <w:rsid w:val="3A6303AE"/>
    <w:rsid w:val="3A993EAE"/>
    <w:rsid w:val="3AB61186"/>
    <w:rsid w:val="3C283344"/>
    <w:rsid w:val="3C485F9D"/>
    <w:rsid w:val="3C7C70D7"/>
    <w:rsid w:val="3C940DD1"/>
    <w:rsid w:val="3E0C6463"/>
    <w:rsid w:val="3EE43BF5"/>
    <w:rsid w:val="403E57B7"/>
    <w:rsid w:val="411A0F39"/>
    <w:rsid w:val="415A3828"/>
    <w:rsid w:val="415A5C88"/>
    <w:rsid w:val="41CE08E1"/>
    <w:rsid w:val="42112513"/>
    <w:rsid w:val="433C7ACC"/>
    <w:rsid w:val="435518AD"/>
    <w:rsid w:val="43C04259"/>
    <w:rsid w:val="43C354C4"/>
    <w:rsid w:val="43EB4D91"/>
    <w:rsid w:val="44A040E0"/>
    <w:rsid w:val="44C67F95"/>
    <w:rsid w:val="44F22D84"/>
    <w:rsid w:val="4557347D"/>
    <w:rsid w:val="4559568A"/>
    <w:rsid w:val="45A47533"/>
    <w:rsid w:val="45F97EF6"/>
    <w:rsid w:val="46445615"/>
    <w:rsid w:val="46BC402D"/>
    <w:rsid w:val="472961BF"/>
    <w:rsid w:val="475528CD"/>
    <w:rsid w:val="47B265AF"/>
    <w:rsid w:val="4916491B"/>
    <w:rsid w:val="496717C4"/>
    <w:rsid w:val="4992015A"/>
    <w:rsid w:val="49ED38CE"/>
    <w:rsid w:val="4A063A4F"/>
    <w:rsid w:val="4A875AD1"/>
    <w:rsid w:val="4AE27CAC"/>
    <w:rsid w:val="4B1B2ECF"/>
    <w:rsid w:val="4B2E6F39"/>
    <w:rsid w:val="4B6E282F"/>
    <w:rsid w:val="4BAC48C9"/>
    <w:rsid w:val="4BB27DC6"/>
    <w:rsid w:val="4C192E4D"/>
    <w:rsid w:val="4CD52BD1"/>
    <w:rsid w:val="4CEA2347"/>
    <w:rsid w:val="4D19039B"/>
    <w:rsid w:val="4D243428"/>
    <w:rsid w:val="4D2D7FC0"/>
    <w:rsid w:val="4DA84D66"/>
    <w:rsid w:val="4E1E04FA"/>
    <w:rsid w:val="4E604FB7"/>
    <w:rsid w:val="4EFA25EF"/>
    <w:rsid w:val="4F2C043D"/>
    <w:rsid w:val="4F602E30"/>
    <w:rsid w:val="4F9246A8"/>
    <w:rsid w:val="4FBC621D"/>
    <w:rsid w:val="4FC275AB"/>
    <w:rsid w:val="4FEB08B0"/>
    <w:rsid w:val="50A13664"/>
    <w:rsid w:val="51937E4D"/>
    <w:rsid w:val="52383592"/>
    <w:rsid w:val="523875F5"/>
    <w:rsid w:val="52506204"/>
    <w:rsid w:val="52665BE8"/>
    <w:rsid w:val="52BE22AC"/>
    <w:rsid w:val="534456B9"/>
    <w:rsid w:val="53FA1DF3"/>
    <w:rsid w:val="54AA2A85"/>
    <w:rsid w:val="54AB2D04"/>
    <w:rsid w:val="557B35BC"/>
    <w:rsid w:val="565C1CF5"/>
    <w:rsid w:val="56E235EF"/>
    <w:rsid w:val="571F3A0C"/>
    <w:rsid w:val="57DC32D5"/>
    <w:rsid w:val="57F2034A"/>
    <w:rsid w:val="58207565"/>
    <w:rsid w:val="58235318"/>
    <w:rsid w:val="59121C77"/>
    <w:rsid w:val="59DE0E09"/>
    <w:rsid w:val="59DF6851"/>
    <w:rsid w:val="5A283DD0"/>
    <w:rsid w:val="5ACD76EE"/>
    <w:rsid w:val="5AD36B10"/>
    <w:rsid w:val="5B366E46"/>
    <w:rsid w:val="5B3D7F5F"/>
    <w:rsid w:val="5B460326"/>
    <w:rsid w:val="5C7B276E"/>
    <w:rsid w:val="5C9A592C"/>
    <w:rsid w:val="5CDC3C38"/>
    <w:rsid w:val="5DF85390"/>
    <w:rsid w:val="5E8E347A"/>
    <w:rsid w:val="5EB97875"/>
    <w:rsid w:val="5F0279C4"/>
    <w:rsid w:val="5F944466"/>
    <w:rsid w:val="5FBE7D8F"/>
    <w:rsid w:val="60470EFE"/>
    <w:rsid w:val="60844C26"/>
    <w:rsid w:val="609617DE"/>
    <w:rsid w:val="60A9029A"/>
    <w:rsid w:val="60DA29A7"/>
    <w:rsid w:val="60FA16F8"/>
    <w:rsid w:val="6139287F"/>
    <w:rsid w:val="61CA0C65"/>
    <w:rsid w:val="62C642C8"/>
    <w:rsid w:val="631B2246"/>
    <w:rsid w:val="6320666B"/>
    <w:rsid w:val="63CF15A0"/>
    <w:rsid w:val="64055963"/>
    <w:rsid w:val="6509228E"/>
    <w:rsid w:val="651255BC"/>
    <w:rsid w:val="655D65FD"/>
    <w:rsid w:val="65A92947"/>
    <w:rsid w:val="661A50B7"/>
    <w:rsid w:val="664B13EA"/>
    <w:rsid w:val="66976C44"/>
    <w:rsid w:val="66F30BCE"/>
    <w:rsid w:val="673C0170"/>
    <w:rsid w:val="673E5F91"/>
    <w:rsid w:val="677A6041"/>
    <w:rsid w:val="67BC07C3"/>
    <w:rsid w:val="67D6317A"/>
    <w:rsid w:val="67D649B5"/>
    <w:rsid w:val="68ED6365"/>
    <w:rsid w:val="690F3AB7"/>
    <w:rsid w:val="6A4E3ABD"/>
    <w:rsid w:val="6AE63D7E"/>
    <w:rsid w:val="6B462C2B"/>
    <w:rsid w:val="6B8359E9"/>
    <w:rsid w:val="6BB076CA"/>
    <w:rsid w:val="6BD277B9"/>
    <w:rsid w:val="6C321620"/>
    <w:rsid w:val="6CE30E35"/>
    <w:rsid w:val="6DA02882"/>
    <w:rsid w:val="6DA12E69"/>
    <w:rsid w:val="6DBB3B60"/>
    <w:rsid w:val="6E2C6F5B"/>
    <w:rsid w:val="6E785E0E"/>
    <w:rsid w:val="6F0B4673"/>
    <w:rsid w:val="6F4831D1"/>
    <w:rsid w:val="70045698"/>
    <w:rsid w:val="700E4F44"/>
    <w:rsid w:val="70124E0E"/>
    <w:rsid w:val="70173239"/>
    <w:rsid w:val="711D3FA5"/>
    <w:rsid w:val="721A5B23"/>
    <w:rsid w:val="72B931C1"/>
    <w:rsid w:val="730100E0"/>
    <w:rsid w:val="734A515C"/>
    <w:rsid w:val="738D03F5"/>
    <w:rsid w:val="73987BB2"/>
    <w:rsid w:val="73E442FB"/>
    <w:rsid w:val="73EF1E6D"/>
    <w:rsid w:val="74173DA2"/>
    <w:rsid w:val="75465FCB"/>
    <w:rsid w:val="76471CF3"/>
    <w:rsid w:val="76723FC6"/>
    <w:rsid w:val="767E5B01"/>
    <w:rsid w:val="76930879"/>
    <w:rsid w:val="76AE4262"/>
    <w:rsid w:val="778F44F9"/>
    <w:rsid w:val="77F2017E"/>
    <w:rsid w:val="78A551F0"/>
    <w:rsid w:val="78D36201"/>
    <w:rsid w:val="79017606"/>
    <w:rsid w:val="79D7762B"/>
    <w:rsid w:val="79EB254B"/>
    <w:rsid w:val="7A154A37"/>
    <w:rsid w:val="7BA82ABD"/>
    <w:rsid w:val="7C757EAB"/>
    <w:rsid w:val="7D0A41BC"/>
    <w:rsid w:val="7D0A4B32"/>
    <w:rsid w:val="7D797C2B"/>
    <w:rsid w:val="7D823D52"/>
    <w:rsid w:val="7DAC6A56"/>
    <w:rsid w:val="7E381ACE"/>
    <w:rsid w:val="7EF742CC"/>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6">
    <w:name w:val="Body Text"/>
    <w:basedOn w:val="1"/>
    <w:next w:val="1"/>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7">
    <w:name w:val="Body Text Indent"/>
    <w:basedOn w:val="1"/>
    <w:autoRedefine/>
    <w:qFormat/>
    <w:uiPriority w:val="0"/>
    <w:pPr>
      <w:spacing w:line="480" w:lineRule="exact"/>
      <w:ind w:firstLine="480" w:firstLineChars="200"/>
    </w:pPr>
    <w:rPr>
      <w:rFonts w:ascii="宋体" w:hAnsi="宋体"/>
      <w:sz w:val="24"/>
    </w:rPr>
  </w:style>
  <w:style w:type="paragraph" w:styleId="8">
    <w:name w:val="Plain Text"/>
    <w:basedOn w:val="1"/>
    <w:autoRedefine/>
    <w:qFormat/>
    <w:uiPriority w:val="0"/>
    <w:rPr>
      <w:rFonts w:ascii="宋体" w:hAnsi="Courier New"/>
      <w:szCs w:val="22"/>
    </w:rPr>
  </w:style>
  <w:style w:type="paragraph" w:styleId="9">
    <w:name w:val="footer"/>
    <w:basedOn w:val="1"/>
    <w:autoRedefine/>
    <w:qFormat/>
    <w:uiPriority w:val="0"/>
    <w:pPr>
      <w:tabs>
        <w:tab w:val="center" w:pos="4153"/>
        <w:tab w:val="right" w:pos="8306"/>
      </w:tabs>
      <w:snapToGrid w:val="0"/>
      <w:jc w:val="left"/>
    </w:pPr>
    <w:rPr>
      <w:sz w:val="18"/>
    </w:rPr>
  </w:style>
  <w:style w:type="paragraph" w:styleId="10">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basedOn w:val="1"/>
    <w:next w:val="1"/>
    <w:autoRedefine/>
    <w:qFormat/>
    <w:uiPriority w:val="39"/>
    <w:pPr>
      <w:jc w:val="left"/>
    </w:pPr>
    <w:rPr>
      <w:b/>
      <w:caps/>
    </w:rPr>
  </w:style>
  <w:style w:type="paragraph" w:styleId="12">
    <w:name w:val="toc 6"/>
    <w:basedOn w:val="1"/>
    <w:next w:val="1"/>
    <w:autoRedefine/>
    <w:qFormat/>
    <w:uiPriority w:val="0"/>
    <w:pPr>
      <w:ind w:left="2100" w:leftChars="1000"/>
    </w:pPr>
  </w:style>
  <w:style w:type="paragraph" w:styleId="13">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paragraph" w:styleId="14">
    <w:name w:val="Body Text First Indent"/>
    <w:basedOn w:val="6"/>
    <w:next w:val="1"/>
    <w:autoRedefine/>
    <w:qFormat/>
    <w:uiPriority w:val="0"/>
    <w:pPr>
      <w:ind w:firstLine="420"/>
    </w:pPr>
    <w:rPr>
      <w:rFonts w:hAnsi="Times New Roman" w:cs="Times New Roman"/>
      <w:snapToGrid/>
      <w:szCs w:val="20"/>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7"/>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2"/>
    <w:autoRedefine/>
    <w:qFormat/>
    <w:uiPriority w:val="0"/>
  </w:style>
  <w:style w:type="character" w:customStyle="1" w:styleId="33">
    <w:name w:val="font31"/>
    <w:basedOn w:val="17"/>
    <w:autoRedefine/>
    <w:qFormat/>
    <w:uiPriority w:val="0"/>
    <w:rPr>
      <w:rFonts w:hint="eastAsia" w:ascii="宋体" w:hAnsi="宋体" w:eastAsia="宋体" w:cs="宋体"/>
      <w:color w:val="000000"/>
      <w:sz w:val="20"/>
      <w:szCs w:val="20"/>
      <w:u w:val="none"/>
    </w:rPr>
  </w:style>
  <w:style w:type="character" w:customStyle="1" w:styleId="34">
    <w:name w:val="font21"/>
    <w:basedOn w:val="17"/>
    <w:autoRedefine/>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4.png"/><Relationship Id="rId25" Type="http://schemas.openxmlformats.org/officeDocument/2006/relationships/image" Target="media/image3.png"/><Relationship Id="rId24" Type="http://schemas.openxmlformats.org/officeDocument/2006/relationships/image" Target="media/image2.jpeg"/><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28158</Words>
  <Characters>29932</Characters>
  <Lines>224</Lines>
  <Paragraphs>63</Paragraphs>
  <TotalTime>34</TotalTime>
  <ScaleCrop>false</ScaleCrop>
  <LinksUpToDate>false</LinksUpToDate>
  <CharactersWithSpaces>33126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陈培</cp:lastModifiedBy>
  <dcterms:modified xsi:type="dcterms:W3CDTF">2024-08-22T02:07:31Z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FE08141DBDE04979B037C7D423AC3B12_13</vt:lpwstr>
  </property>
</Properties>
</file>