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2024年临江公司汽水取样备件（非标件）采购项目</w:t>
      </w:r>
    </w:p>
    <w:p>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202408028</w:t>
      </w:r>
    </w:p>
    <w:p>
      <w:pPr>
        <w:spacing w:line="360" w:lineRule="auto"/>
        <w:jc w:val="center"/>
        <w:rPr>
          <w:rFonts w:cs="仿宋" w:asciiTheme="minorEastAsia" w:hAnsiTheme="minorEastAsia"/>
          <w:b/>
          <w:bCs/>
          <w:sz w:val="72"/>
          <w:szCs w:val="72"/>
        </w:rPr>
      </w:pPr>
    </w:p>
    <w:p>
      <w:pPr>
        <w:pStyle w:val="3"/>
        <w:rPr>
          <w:rFonts w:asciiTheme="minorEastAsia" w:hAnsiTheme="minorEastAsia"/>
        </w:rPr>
      </w:pPr>
    </w:p>
    <w:p>
      <w:pPr>
        <w:spacing w:line="360" w:lineRule="auto"/>
        <w:jc w:val="center"/>
        <w:rPr>
          <w:rFonts w:cs="仿宋" w:asciiTheme="minorEastAsia" w:hAnsiTheme="minorEastAsia"/>
          <w:b/>
          <w:bCs/>
          <w:sz w:val="72"/>
          <w:szCs w:val="72"/>
        </w:rPr>
      </w:pPr>
    </w:p>
    <w:p>
      <w:pPr>
        <w:pStyle w:val="10"/>
      </w:pPr>
    </w:p>
    <w:p/>
    <w:p>
      <w:pPr>
        <w:pStyle w:val="10"/>
      </w:pPr>
    </w:p>
    <w:p/>
    <w:p>
      <w:pPr>
        <w:spacing w:line="360" w:lineRule="auto"/>
        <w:rPr>
          <w:rFonts w:cs="仿宋" w:asciiTheme="minorEastAsia" w:hAnsiTheme="minorEastAsia"/>
          <w:sz w:val="24"/>
        </w:rPr>
      </w:pPr>
    </w:p>
    <w:p>
      <w:pPr>
        <w:pStyle w:val="10"/>
        <w:rPr>
          <w:rFonts w:cs="仿宋" w:asciiTheme="minorEastAsia" w:hAnsiTheme="minorEastAsia"/>
          <w:sz w:val="24"/>
          <w:szCs w:val="24"/>
        </w:rPr>
      </w:pPr>
    </w:p>
    <w:p>
      <w:pPr>
        <w:pStyle w:val="10"/>
        <w:jc w:val="center"/>
        <w:rPr>
          <w:rFonts w:cs="仿宋" w:asciiTheme="minorEastAsia" w:hAnsiTheme="minorEastAsia"/>
          <w:sz w:val="24"/>
          <w:szCs w:val="24"/>
        </w:rPr>
      </w:pPr>
    </w:p>
    <w:p>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30</w:t>
      </w:r>
      <w:r>
        <w:rPr>
          <w:rFonts w:hint="eastAsia" w:cs="仿宋" w:asciiTheme="minorEastAsia" w:hAnsiTheme="minorEastAsia"/>
          <w:sz w:val="32"/>
          <w:szCs w:val="32"/>
        </w:rPr>
        <w:t>日</w:t>
      </w:r>
    </w:p>
    <w:p>
      <w:pPr>
        <w:spacing w:line="360" w:lineRule="auto"/>
        <w:ind w:firstLine="602" w:firstLineChars="200"/>
        <w:jc w:val="center"/>
        <w:rPr>
          <w:rFonts w:cs="仿宋" w:asciiTheme="minorEastAsia" w:hAnsiTheme="minorEastAsia"/>
          <w:b/>
          <w:sz w:val="30"/>
          <w:szCs w:val="30"/>
        </w:rPr>
      </w:pPr>
    </w:p>
    <w:p>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28359079"/>
      <w:bookmarkStart w:id="2" w:name="_Toc28359002"/>
      <w:bookmarkStart w:id="3" w:name="_Toc35393621"/>
      <w:bookmarkStart w:id="4" w:name="_Toc35393790"/>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2024年临江公司汽水取样备件（非标件）采购项目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w:t>
      </w:r>
      <w:r>
        <w:rPr>
          <w:rFonts w:hint="eastAsia" w:cs="仿宋" w:asciiTheme="minorEastAsia" w:hAnsiTheme="minorEastAsia"/>
          <w:sz w:val="24"/>
          <w:lang w:val="en-US" w:eastAsia="zh-CN"/>
        </w:rPr>
        <w:t>该</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pStyle w:val="6"/>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pP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202408028</w:t>
      </w:r>
    </w:p>
    <w:p>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2024年临江公司汽水取样备件（非标件）采购项目</w:t>
      </w:r>
      <w:r>
        <w:rPr>
          <w:rFonts w:cs="仿宋" w:asciiTheme="minorEastAsia" w:hAnsiTheme="minorEastAsia"/>
          <w:sz w:val="24"/>
          <w:u w:val="single"/>
        </w:rPr>
        <w:t xml:space="preserve"> </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b w:val="0"/>
          <w:bCs w:val="0"/>
          <w:sz w:val="24"/>
          <w:szCs w:val="24"/>
          <w:highlight w:val="none"/>
          <w:u w:val="single"/>
          <w:lang w:val="en-US" w:eastAsia="zh-CN"/>
        </w:rPr>
        <w:t>6.4</w:t>
      </w:r>
      <w:r>
        <w:rPr>
          <w:rFonts w:hint="eastAsia" w:cs="仿宋" w:asciiTheme="minorEastAsia" w:hAnsiTheme="minorEastAsia"/>
          <w:b w:val="0"/>
          <w:bCs w:val="0"/>
          <w:sz w:val="24"/>
          <w:szCs w:val="24"/>
          <w:u w:val="single"/>
        </w:rPr>
        <w:t>万元</w:t>
      </w:r>
    </w:p>
    <w:p>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cs="仿宋" w:asciiTheme="minorEastAsia" w:hAnsiTheme="minorEastAsia"/>
          <w:sz w:val="24"/>
          <w:u w:val="single"/>
          <w:lang w:val="en-US" w:eastAsia="zh-CN"/>
        </w:rPr>
        <w:t>汽水取样备件（非标件）</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rPr>
        <w:t xml:space="preserve"> </w:t>
      </w:r>
      <w:r>
        <w:rPr>
          <w:rFonts w:hint="eastAsia" w:cs="仿宋" w:asciiTheme="minorEastAsia" w:hAnsiTheme="minorEastAsia"/>
          <w:sz w:val="24"/>
          <w:u w:val="single"/>
          <w:lang w:val="en-US" w:eastAsia="zh-CN"/>
        </w:rPr>
        <w:t>自合同签订生效后30内完成</w:t>
      </w:r>
      <w:r>
        <w:rPr>
          <w:rFonts w:hint="eastAsia" w:cs="仿宋" w:asciiTheme="minorEastAsia" w:hAnsiTheme="minorEastAsia"/>
          <w:sz w:val="24"/>
          <w:u w:val="single"/>
        </w:rPr>
        <w:t>供货。</w:t>
      </w:r>
    </w:p>
    <w:p>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pacing w:line="360" w:lineRule="auto"/>
        <w:ind w:firstLine="482" w:firstLineChars="200"/>
        <w:rPr>
          <w:rFonts w:cs="仿宋" w:asciiTheme="minorEastAsia" w:hAnsiTheme="minorEastAsia"/>
          <w:b/>
          <w:bCs/>
          <w:sz w:val="24"/>
        </w:rPr>
      </w:pPr>
      <w:bookmarkStart w:id="6" w:name="_Toc28359003"/>
      <w:bookmarkStart w:id="7" w:name="_Toc35393791"/>
      <w:bookmarkStart w:id="8" w:name="_Toc35393622"/>
      <w:bookmarkStart w:id="9" w:name="_Toc28359080"/>
      <w:r>
        <w:rPr>
          <w:rFonts w:hint="eastAsia" w:cs="仿宋" w:asciiTheme="minorEastAsia" w:hAnsiTheme="minorEastAsia"/>
          <w:b/>
          <w:bCs/>
          <w:sz w:val="24"/>
        </w:rPr>
        <w:t>二、供应商的资格要求：</w:t>
      </w:r>
      <w:bookmarkEnd w:id="6"/>
      <w:bookmarkEnd w:id="7"/>
      <w:bookmarkEnd w:id="8"/>
      <w:bookmarkEnd w:id="9"/>
      <w:bookmarkStart w:id="10" w:name="_Toc35393623"/>
      <w:bookmarkStart w:id="11" w:name="_Toc28359004"/>
      <w:bookmarkStart w:id="12" w:name="_Toc35393792"/>
      <w:bookmarkStart w:id="13" w:name="_Toc28359081"/>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w:t>
      </w:r>
      <w:r>
        <w:rPr>
          <w:rFonts w:hint="eastAsia" w:cs="仿宋" w:asciiTheme="minorEastAsia" w:hAnsiTheme="minorEastAsia"/>
          <w:bCs/>
          <w:sz w:val="24"/>
          <w:highlight w:val="none"/>
        </w:rPr>
        <w:t>法人资格</w:t>
      </w:r>
      <w:r>
        <w:rPr>
          <w:rFonts w:hint="eastAsia" w:cs="仿宋" w:asciiTheme="minorEastAsia" w:hAnsiTheme="minorEastAsia"/>
          <w:bCs/>
          <w:sz w:val="24"/>
        </w:rPr>
        <w:t>和独立承担民事责任的能力，有能力提供货物。</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pacing w:line="360" w:lineRule="auto"/>
        <w:ind w:firstLine="480" w:firstLineChars="200"/>
        <w:rPr>
          <w:rFonts w:hint="default"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cs="仿宋" w:asciiTheme="minorEastAsia" w:hAnsiTheme="minorEastAsia"/>
          <w:bCs/>
          <w:sz w:val="24"/>
          <w:highlight w:val="none"/>
          <w:u w:val="single"/>
          <w:lang w:val="en-US" w:eastAsia="zh-CN"/>
        </w:rPr>
        <w:t>/。</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4.供应商不得为杭州市环境集团有限公司不合格供应商或者在黑名单之内。</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6"/>
        <w:spacing w:before="0" w:after="0" w:line="360" w:lineRule="auto"/>
        <w:ind w:firstLine="480" w:firstLineChars="200"/>
        <w:rPr>
          <w:rFonts w:cs="仿宋" w:asciiTheme="minorEastAsia" w:hAnsiTheme="minorEastAsia" w:eastAsiaTheme="minorEastAsia"/>
          <w:b w:val="0"/>
          <w:sz w:val="24"/>
          <w:szCs w:val="24"/>
        </w:rPr>
      </w:pPr>
      <w:bookmarkStart w:id="14" w:name="_Toc28359005"/>
      <w:bookmarkStart w:id="15" w:name="_Toc28359082"/>
      <w:bookmarkStart w:id="16" w:name="_Toc35393793"/>
      <w:bookmarkStart w:id="17" w:name="_Toc35393624"/>
      <w:r>
        <w:rPr>
          <w:rFonts w:hint="eastAsia" w:cs="仿宋" w:asciiTheme="minorEastAsia" w:hAnsiTheme="minorEastAsia" w:eastAsiaTheme="minorEastAsia"/>
          <w:b w:val="0"/>
          <w:sz w:val="24"/>
          <w:szCs w:val="24"/>
        </w:rPr>
        <w:t xml:space="preserve">1.时间：报价截止时间前。   </w:t>
      </w:r>
    </w:p>
    <w:p>
      <w:pPr>
        <w:pStyle w:val="6"/>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6"/>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09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09</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bCs/>
          <w:sz w:val="24"/>
          <w:u w:val="single"/>
          <w:lang w:val="en-US" w:eastAsia="zh-CN"/>
        </w:rPr>
        <w:t>09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09</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pacing w:line="360" w:lineRule="auto"/>
        <w:ind w:firstLine="480" w:firstLineChars="200"/>
        <w:rPr>
          <w:rFonts w:hint="default" w:cs="仿宋" w:asciiTheme="minorEastAsia" w:hAnsiTheme="minorEastAsia" w:eastAsiaTheme="minorEastAsia"/>
          <w:sz w:val="24"/>
          <w:lang w:val="en-US" w:eastAsia="zh-CN"/>
        </w:rPr>
      </w:pPr>
      <w:r>
        <w:rPr>
          <w:rFonts w:hint="eastAsia" w:cs="仿宋" w:asciiTheme="minorEastAsia" w:hAnsiTheme="minorEastAsia"/>
          <w:sz w:val="24"/>
        </w:rPr>
        <w:t>联系人：</w:t>
      </w:r>
      <w:r>
        <w:rPr>
          <w:rFonts w:hint="eastAsia" w:cs="仿宋" w:asciiTheme="minorEastAsia" w:hAnsiTheme="minorEastAsia"/>
          <w:sz w:val="24"/>
          <w:highlight w:val="none"/>
          <w:lang w:val="en-US" w:eastAsia="zh-CN"/>
        </w:rPr>
        <w:t>陈</w:t>
      </w:r>
      <w:r>
        <w:rPr>
          <w:rFonts w:hint="eastAsia" w:cs="仿宋" w:asciiTheme="minorEastAsia" w:hAnsiTheme="minorEastAsia"/>
          <w:sz w:val="24"/>
          <w:highlight w:val="none"/>
        </w:rPr>
        <w:t xml:space="preserve">工 </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r>
        <w:rPr>
          <w:rFonts w:hint="eastAsia" w:cs="仿宋" w:asciiTheme="minorEastAsia" w:hAnsiTheme="minorEastAsia"/>
          <w:sz w:val="24"/>
          <w:lang w:val="en-US" w:eastAsia="zh-CN"/>
        </w:rPr>
        <w:t xml:space="preserve"> 15258849018</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08月30</w:t>
      </w:r>
      <w:r>
        <w:rPr>
          <w:rFonts w:hint="eastAsia" w:cs="仿宋" w:asciiTheme="minorEastAsia" w:hAnsiTheme="minorEastAsia"/>
          <w:color w:val="auto"/>
          <w:sz w:val="24"/>
        </w:rPr>
        <w:t>日</w:t>
      </w: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34"/>
        <w:gridCol w:w="64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34"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不组织。供应商经采购人同意后可自行前往对项目现场和周围环境进行踏勘和了解。</w:t>
            </w:r>
          </w:p>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cs="仿宋" w:asciiTheme="minorEastAsia" w:hAnsiTheme="minorEastAsia"/>
                <w:b/>
                <w:bCs/>
                <w:sz w:val="24"/>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72"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t>提交电子版文件：</w:t>
                </w:r>
                <w:r>
                  <w:rPr>
                    <w:rFonts w:hint="eastAsia" w:ascii="宋体" w:hAnsi="宋体" w:eastAsia="宋体" w:cs="宋体"/>
                    <w:b/>
                    <w:bCs/>
                    <w:color w:val="auto"/>
                    <w:szCs w:val="21"/>
                    <w:lang w:val="en-US" w:eastAsia="zh-CN"/>
                  </w:rPr>
                  <w:t>成交供应商根据采购人要求提供响应文件的</w:t>
                </w:r>
                <w:r>
                  <w:rPr>
                    <w:rFonts w:hint="eastAsia" w:ascii="宋体" w:hAnsi="宋体" w:eastAsia="宋体" w:cs="宋体"/>
                    <w:b/>
                    <w:bCs/>
                    <w:color w:val="auto"/>
                    <w:szCs w:val="21"/>
                  </w:rPr>
                  <w:t>PDF文件及word版本各1份</w:t>
                </w:r>
                <w:r>
                  <w:rPr>
                    <w:rFonts w:hint="eastAsia" w:ascii="宋体" w:hAnsi="宋体" w:eastAsia="宋体" w:cs="宋体"/>
                    <w:b/>
                    <w:bCs/>
                    <w:color w:val="auto"/>
                    <w:szCs w:val="21"/>
                    <w:lang w:eastAsia="zh-CN"/>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响应文件开启时应携带的资料</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11</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b/>
                <w:snapToGrid w:val="0"/>
                <w:color w:val="auto"/>
                <w:kern w:val="0"/>
                <w:szCs w:val="21"/>
                <w:lang w:val="en-US" w:eastAsia="zh-CN"/>
              </w:rPr>
              <w:t>评审小组组建</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yellow"/>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是否分册装订：</w:t>
            </w:r>
          </w:p>
          <w:p>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pStyle w:val="2"/>
      </w:pPr>
    </w:p>
    <w:p>
      <w:pPr>
        <w:pStyle w:val="3"/>
        <w:rPr>
          <w:rFonts w:cs="仿宋" w:asciiTheme="minorEastAsia" w:hAnsiTheme="minorEastAsia"/>
          <w:b/>
          <w:sz w:val="32"/>
          <w:szCs w:val="20"/>
        </w:rPr>
      </w:pPr>
    </w:p>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10"/>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3"/>
        <w:rPr>
          <w:rFonts w:cs="仿宋" w:asciiTheme="minorEastAsia" w:hAnsiTheme="minorEastAsia"/>
          <w:sz w:val="18"/>
          <w:szCs w:val="18"/>
          <w:lang w:val="en-US"/>
        </w:rPr>
      </w:pPr>
    </w:p>
    <w:p>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10"/>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10"/>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10"/>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9"/>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pacing w:before="0"/>
        <w:ind w:firstLine="0" w:firstLineChars="0"/>
        <w:jc w:val="center"/>
        <w:rPr>
          <w:rFonts w:cs="仿宋" w:asciiTheme="minorEastAsia" w:hAnsiTheme="minorEastAsia"/>
          <w:b/>
          <w:sz w:val="32"/>
        </w:rPr>
      </w:pPr>
    </w:p>
    <w:p>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、中国政府采购网《政府采购严重违法失信行为记录名单》</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pacing w:before="0"/>
        <w:ind w:firstLine="495" w:firstLineChars="0"/>
        <w:rPr>
          <w:rFonts w:cs="仿宋" w:asciiTheme="minorEastAsia" w:hAnsiTheme="minorEastAsia"/>
          <w:kern w:val="0"/>
          <w:szCs w:val="24"/>
        </w:rPr>
      </w:pPr>
    </w:p>
    <w:p>
      <w:pPr>
        <w:pStyle w:val="21"/>
        <w:spacing w:before="0"/>
        <w:ind w:firstLine="480"/>
        <w:rPr>
          <w:rFonts w:cs="仿宋" w:asciiTheme="minorEastAsia" w:hAnsiTheme="minorEastAsia"/>
          <w:kern w:val="0"/>
          <w:szCs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pacing w:line="360" w:lineRule="auto"/>
        <w:rPr>
          <w:rFonts w:cs="仿宋" w:asciiTheme="minorEastAsia" w:hAnsiTheme="minorEastAsia"/>
          <w:b/>
          <w:sz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9"/>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9"/>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9"/>
        <w:spacing w:line="360" w:lineRule="auto"/>
        <w:rPr>
          <w:rFonts w:cs="仿宋" w:asciiTheme="minorEastAsia" w:hAnsiTheme="minorEastAsia"/>
          <w:b/>
        </w:rPr>
      </w:pPr>
      <w:r>
        <w:rPr>
          <w:rFonts w:hint="eastAsia" w:cs="仿宋" w:asciiTheme="minorEastAsia" w:hAnsiTheme="minorEastAsia"/>
          <w:b/>
        </w:rPr>
        <w:t>23.履约保证金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3"/>
        <w:ind w:firstLine="480" w:firstLineChars="200"/>
      </w:pPr>
      <w:r>
        <w:rPr>
          <w:rFonts w:hint="eastAsia"/>
        </w:rPr>
        <w:t>本项目无预付款。</w:t>
      </w:r>
    </w:p>
    <w:p>
      <w:pPr>
        <w:tabs>
          <w:tab w:val="left" w:pos="0"/>
        </w:tabs>
        <w:spacing w:line="360" w:lineRule="auto"/>
        <w:ind w:firstLine="480"/>
        <w:rPr>
          <w:rFonts w:cs="仿宋" w:asciiTheme="minorEastAsia" w:hAnsiTheme="minorEastAsia"/>
          <w:sz w:val="24"/>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9"/>
        <w:spacing w:line="360" w:lineRule="auto"/>
        <w:ind w:firstLine="489"/>
        <w:rPr>
          <w:rFonts w:cs="仿宋" w:asciiTheme="minorEastAsia" w:hAnsiTheme="minorEastAsia"/>
          <w:b/>
        </w:rPr>
      </w:pPr>
      <w:r>
        <w:rPr>
          <w:rFonts w:hint="eastAsia" w:cs="仿宋" w:asciiTheme="minorEastAsia" w:hAnsiTheme="minorEastAsia"/>
          <w:b/>
        </w:rPr>
        <w:t>27.验收</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10"/>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rPr>
          <w:rFonts w:cs="仿宋" w:asciiTheme="minorEastAsia" w:hAnsiTheme="minorEastAsia"/>
          <w:kern w:val="0"/>
          <w:sz w:val="24"/>
        </w:rPr>
      </w:pPr>
    </w:p>
    <w:p>
      <w:pPr>
        <w:pStyle w:val="3"/>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pacing w:line="460" w:lineRule="exact"/>
        <w:jc w:val="center"/>
        <w:rPr>
          <w:sz w:val="24"/>
        </w:rPr>
      </w:pPr>
      <w:r>
        <w:rPr>
          <w:rFonts w:hint="eastAsia" w:cs="仿宋" w:asciiTheme="minorEastAsia" w:hAnsiTheme="minorEastAsia"/>
          <w:b/>
          <w:sz w:val="36"/>
          <w:szCs w:val="36"/>
        </w:rPr>
        <w:t>第三部分 采购需求</w:t>
      </w:r>
    </w:p>
    <w:p>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pPr>
        <w:pStyle w:val="3"/>
        <w:ind w:firstLine="480" w:firstLineChars="200"/>
        <w:rPr>
          <w:rFonts w:hint="eastAsia"/>
          <w:lang w:val="en-US"/>
        </w:rPr>
      </w:pPr>
      <w:r>
        <w:rPr>
          <w:rFonts w:hint="eastAsia"/>
          <w:lang w:val="en-US"/>
        </w:rPr>
        <w:t>杭州临江环境能源有限公司因日常生产需要，需采购</w:t>
      </w:r>
      <w:r>
        <w:rPr>
          <w:rFonts w:hint="eastAsia" w:hAnsi="宋体" w:cs="宋体"/>
          <w:bCs/>
          <w:sz w:val="24"/>
          <w:lang w:val="en-US" w:eastAsia="zh-CN"/>
        </w:rPr>
        <w:t>一批汽水取样非标</w:t>
      </w:r>
      <w:r>
        <w:rPr>
          <w:rFonts w:hint="eastAsia"/>
          <w:lang w:val="en-US" w:eastAsia="zh-CN"/>
        </w:rPr>
        <w:t>备件。</w:t>
      </w:r>
      <w:r>
        <w:rPr>
          <w:rFonts w:hint="eastAsia"/>
          <w:lang w:val="en-US"/>
        </w:rPr>
        <w:t>具体如下：</w:t>
      </w:r>
    </w:p>
    <w:tbl>
      <w:tblPr>
        <w:tblStyle w:val="15"/>
        <w:tblW w:w="88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809"/>
        <w:gridCol w:w="736"/>
        <w:gridCol w:w="2946"/>
        <w:gridCol w:w="641"/>
        <w:gridCol w:w="627"/>
        <w:gridCol w:w="25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序号</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物资名称</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w:t>
            </w:r>
          </w:p>
        </w:tc>
        <w:tc>
          <w:tcPr>
            <w:tcW w:w="2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型号规格</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单位</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数量</w:t>
            </w:r>
          </w:p>
        </w:tc>
        <w:tc>
          <w:tcPr>
            <w:tcW w:w="2577"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样品照片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一级冷却器芯</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P01A-01；热交换面积（㎡）0.32㎡；样品最高压力（MPa）38；样品最高温度（℃）550℃；样品最大流量（L/min）2500；样品接口管径Φ12×3；冷却水管管径Φ22×2.5；冷却器材质304SS；样水连接方式：螺纹连接；冷却水连接方式：焊接</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2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w:t>
            </w:r>
          </w:p>
        </w:tc>
        <w:tc>
          <w:tcPr>
            <w:tcW w:w="2577"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542"/>
              </w:tabs>
              <w:jc w:val="left"/>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drawing>
                <wp:inline distT="0" distB="0" distL="114300" distR="114300">
                  <wp:extent cx="1563370" cy="1560830"/>
                  <wp:effectExtent l="0" t="0" r="17780" b="1270"/>
                  <wp:docPr id="14" name="图片 14" descr="微信图片_2024081510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图片_20240815104706"/>
                          <pic:cNvPicPr>
                            <a:picLocks noChangeAspect="1"/>
                          </pic:cNvPicPr>
                        </pic:nvPicPr>
                        <pic:blipFill>
                          <a:blip r:embed="rId23"/>
                          <a:stretch>
                            <a:fillRect/>
                          </a:stretch>
                        </pic:blipFill>
                        <pic:spPr>
                          <a:xfrm>
                            <a:off x="0" y="0"/>
                            <a:ext cx="1563370" cy="156083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二级冷却器芯</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P01B-01；热交换面积（㎡）0.427㎡；样品最高压力（MPa）38；样品最高温度（℃）550℃；样品最大流量（L/min）2500；样品接口管径Φ10×1.5；冷却水管管径Φ22×2.5；冷却器材质304SS；样水连接方式：螺纹连接；冷却水连接方式：焊接</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2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w:t>
            </w:r>
          </w:p>
        </w:tc>
        <w:tc>
          <w:tcPr>
            <w:tcW w:w="257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drawing>
                <wp:inline distT="0" distB="0" distL="114300" distR="114300">
                  <wp:extent cx="1568450" cy="1766570"/>
                  <wp:effectExtent l="0" t="0" r="12700" b="5080"/>
                  <wp:docPr id="17" name="图片 17" descr="微信图片_2024081510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图片_20240815104720"/>
                          <pic:cNvPicPr>
                            <a:picLocks noChangeAspect="1"/>
                          </pic:cNvPicPr>
                        </pic:nvPicPr>
                        <pic:blipFill>
                          <a:blip r:embed="rId24"/>
                          <a:stretch>
                            <a:fillRect/>
                          </a:stretch>
                        </pic:blipFill>
                        <pic:spPr>
                          <a:xfrm>
                            <a:off x="0" y="0"/>
                            <a:ext cx="1568450" cy="176657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水样过滤器滤芯</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HP03D-01；工作压力1.6mpa；样品水流量0-600L/min；滤网目数200;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2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1000</w:t>
            </w:r>
          </w:p>
        </w:tc>
        <w:tc>
          <w:tcPr>
            <w:tcW w:w="257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drawing>
                <wp:inline distT="0" distB="0" distL="114300" distR="114300">
                  <wp:extent cx="1603375" cy="1713230"/>
                  <wp:effectExtent l="0" t="0" r="15875" b="1270"/>
                  <wp:docPr id="18" name="图片 18" descr="0cd68ea0e82c4ed567cf9eed146d6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0cd68ea0e82c4ed567cf9eed146d6e3"/>
                          <pic:cNvPicPr>
                            <a:picLocks noChangeAspect="1"/>
                          </pic:cNvPicPr>
                        </pic:nvPicPr>
                        <pic:blipFill>
                          <a:blip r:embed="rId25"/>
                          <a:stretch>
                            <a:fillRect/>
                          </a:stretch>
                        </pic:blipFill>
                        <pic:spPr>
                          <a:xfrm>
                            <a:off x="0" y="0"/>
                            <a:ext cx="1603375" cy="1713230"/>
                          </a:xfrm>
                          <a:prstGeom prst="rect">
                            <a:avLst/>
                          </a:prstGeom>
                        </pic:spPr>
                      </pic:pic>
                    </a:graphicData>
                  </a:graphic>
                </wp:inline>
              </w:drawing>
            </w:r>
          </w:p>
        </w:tc>
      </w:tr>
    </w:tbl>
    <w:p>
      <w:pPr>
        <w:pStyle w:val="2"/>
        <w:rPr>
          <w:rFonts w:hint="eastAsia"/>
          <w:lang w:val="en-US"/>
        </w:rPr>
      </w:pPr>
    </w:p>
    <w:p>
      <w:pPr>
        <w:spacing w:line="360" w:lineRule="auto"/>
        <w:ind w:left="479" w:leftChars="228" w:firstLine="0" w:firstLineChars="0"/>
        <w:rPr>
          <w:rFonts w:ascii="宋体" w:hAnsi="宋体" w:cs="宋体"/>
          <w:sz w:val="24"/>
        </w:rPr>
      </w:pPr>
      <w:r>
        <w:rPr>
          <w:rFonts w:hint="eastAsia" w:cs="仿宋" w:asciiTheme="minorEastAsia" w:hAnsiTheme="minorEastAsia" w:eastAsiaTheme="minorEastAsia"/>
          <w:b/>
          <w:bCs/>
          <w:snapToGrid w:val="0"/>
          <w:kern w:val="0"/>
          <w:sz w:val="24"/>
          <w:szCs w:val="21"/>
          <w:lang w:val="zh-CN" w:eastAsia="zh-CN" w:bidi="ar-SA"/>
        </w:rPr>
        <w:t>▲</w:t>
      </w:r>
      <w:r>
        <w:rPr>
          <w:rFonts w:hint="eastAsia" w:cs="仿宋" w:asciiTheme="minorEastAsia" w:hAnsiTheme="minorEastAsia" w:eastAsiaTheme="minorEastAsia"/>
          <w:b/>
          <w:bCs/>
          <w:snapToGrid w:val="0"/>
          <w:kern w:val="0"/>
          <w:sz w:val="24"/>
          <w:szCs w:val="21"/>
          <w:lang w:val="en-US" w:eastAsia="zh-CN" w:bidi="ar-SA"/>
        </w:rPr>
        <w:t>二、合同期限：</w:t>
      </w:r>
      <w:r>
        <w:rPr>
          <w:rFonts w:hint="eastAsia" w:ascii="宋体" w:hAnsi="宋体" w:cs="宋体"/>
          <w:sz w:val="24"/>
          <w:highlight w:val="none"/>
          <w:u w:val="single"/>
          <w:lang w:val="en-US" w:eastAsia="zh-CN"/>
        </w:rPr>
        <w:t>自合同签订生效后30天内完成供货。</w:t>
      </w:r>
    </w:p>
    <w:p>
      <w:pPr>
        <w:pStyle w:val="3"/>
        <w:ind w:firstLine="480" w:firstLineChars="200"/>
        <w:rPr>
          <w:rFonts w:hint="default" w:cs="仿宋" w:asciiTheme="minorEastAsia" w:hAnsiTheme="minorEastAsia" w:eastAsiaTheme="minorEastAsia"/>
          <w:kern w:val="0"/>
          <w:lang w:val="en-US" w:eastAsia="zh-CN"/>
        </w:rPr>
      </w:pPr>
      <w:r>
        <w:rPr>
          <w:rFonts w:hint="eastAsia" w:cs="仿宋" w:asciiTheme="minorEastAsia" w:hAnsiTheme="minorEastAsia"/>
          <w:kern w:val="0"/>
        </w:rPr>
        <w:t>▲</w:t>
      </w:r>
      <w:r>
        <w:rPr>
          <w:rFonts w:hint="eastAsia"/>
          <w:b/>
          <w:bCs/>
          <w:lang w:val="en-US" w:eastAsia="zh-CN"/>
        </w:rPr>
        <w:t>三</w:t>
      </w:r>
      <w:r>
        <w:rPr>
          <w:rFonts w:hint="eastAsia"/>
          <w:b/>
          <w:bCs/>
          <w:lang w:val="en-US"/>
        </w:rPr>
        <w:t>、</w:t>
      </w:r>
      <w:r>
        <w:rPr>
          <w:rFonts w:hint="eastAsia"/>
          <w:b/>
          <w:bCs/>
          <w:lang w:val="en-US" w:eastAsia="zh-CN"/>
        </w:rPr>
        <w:t>履约方式：</w:t>
      </w:r>
      <w:r>
        <w:rPr>
          <w:rFonts w:hint="eastAsia"/>
          <w:b w:val="0"/>
          <w:bCs w:val="0"/>
          <w:lang w:val="en-US" w:eastAsia="zh-CN"/>
        </w:rPr>
        <w:t>合同期内</w:t>
      </w:r>
      <w:r>
        <w:rPr>
          <w:rFonts w:hint="eastAsia"/>
          <w:color w:val="auto"/>
          <w:highlight w:val="none"/>
          <w:lang w:val="en-US" w:eastAsia="zh-CN"/>
        </w:rPr>
        <w:t>按合同约定完成供货。</w:t>
      </w:r>
    </w:p>
    <w:p>
      <w:pPr>
        <w:pStyle w:val="3"/>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pPr>
        <w:pStyle w:val="3"/>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3"/>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供应商所提</w:t>
      </w:r>
      <w:r>
        <w:rPr>
          <w:rFonts w:hint="eastAsia" w:ascii="宋体"/>
          <w:color w:val="auto"/>
          <w:highlight w:val="none"/>
          <w:lang w:val="en-US" w:eastAsia="zh-CN"/>
        </w:rPr>
        <w:t>供</w:t>
      </w:r>
      <w:r>
        <w:rPr>
          <w:rFonts w:hint="eastAsia"/>
          <w:color w:val="auto"/>
          <w:highlight w:val="none"/>
          <w:lang w:val="en-US" w:eastAsia="zh-CN"/>
        </w:rPr>
        <w:t>的材料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pPr>
        <w:pStyle w:val="3"/>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pPr>
        <w:pStyle w:val="3"/>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highlight w:val="none"/>
          <w:lang w:val="en-US" w:eastAsia="zh-CN"/>
        </w:rPr>
        <w:t>生产厂家的</w:t>
      </w:r>
      <w:r>
        <w:rPr>
          <w:rFonts w:hint="eastAsia"/>
          <w:color w:val="auto"/>
          <w:lang w:val="en-US" w:eastAsia="zh-CN"/>
        </w:rPr>
        <w:t>合格证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w:t>
      </w:r>
    </w:p>
    <w:p>
      <w:pPr>
        <w:pStyle w:val="3"/>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3"/>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lang w:val="en-US"/>
        </w:rPr>
        <w:t>根据采购人生产计划，确定</w:t>
      </w:r>
      <w:r>
        <w:rPr>
          <w:rFonts w:hint="eastAsia"/>
          <w:lang w:val="en-US" w:eastAsia="zh-CN"/>
        </w:rPr>
        <w:t>供货及安装要求</w:t>
      </w:r>
      <w:r>
        <w:rPr>
          <w:rFonts w:hint="eastAsia"/>
          <w:lang w:val="en-US"/>
        </w:rPr>
        <w:t>，</w:t>
      </w:r>
      <w:r>
        <w:rPr>
          <w:rFonts w:hint="eastAsia"/>
          <w:lang w:val="en-US" w:eastAsia="zh-CN"/>
        </w:rPr>
        <w:t>供应商</w:t>
      </w:r>
      <w:r>
        <w:rPr>
          <w:rFonts w:hint="eastAsia"/>
          <w:lang w:val="en-US"/>
        </w:rPr>
        <w:t>负责在接到采购人电话或书面通知后在</w:t>
      </w:r>
      <w:r>
        <w:rPr>
          <w:rFonts w:hint="eastAsia"/>
          <w:lang w:val="en-US" w:eastAsia="zh-CN"/>
        </w:rPr>
        <w:t>30天</w:t>
      </w:r>
      <w:r>
        <w:rPr>
          <w:rFonts w:hint="eastAsia"/>
          <w:lang w:val="en-US"/>
        </w:rPr>
        <w:t>内</w:t>
      </w:r>
      <w:r>
        <w:rPr>
          <w:rFonts w:hint="eastAsia"/>
          <w:lang w:val="en-US" w:eastAsia="zh-CN"/>
        </w:rPr>
        <w:t>一次性完成</w:t>
      </w:r>
      <w:r>
        <w:rPr>
          <w:rFonts w:hint="eastAsia"/>
          <w:lang w:val="en-US"/>
        </w:rPr>
        <w:t>供货。</w:t>
      </w:r>
    </w:p>
    <w:p>
      <w:pPr>
        <w:pStyle w:val="3"/>
        <w:numPr>
          <w:ilvl w:val="0"/>
          <w:numId w:val="0"/>
        </w:numPr>
        <w:ind w:firstLine="480" w:firstLineChars="200"/>
        <w:rPr>
          <w:rFonts w:hint="eastAsia"/>
          <w:lang w:val="en-US"/>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3"/>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2"/>
        <w:ind w:firstLine="480" w:firstLineChars="200"/>
        <w:rPr>
          <w:lang w:val="en-US"/>
        </w:rPr>
      </w:pPr>
      <w:r>
        <w:rPr>
          <w:rFonts w:hint="eastAsia"/>
          <w:lang w:val="en-US"/>
        </w:rPr>
        <w:t>以本询价采购文件中的合同条款为准。</w:t>
      </w:r>
    </w:p>
    <w:p>
      <w:pPr>
        <w:pStyle w:val="3"/>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3"/>
        <w:ind w:firstLine="480" w:firstLineChars="200"/>
        <w:rPr>
          <w:rFonts w:hint="eastAsia" w:ascii="宋体"/>
          <w:lang w:val="en-US"/>
        </w:rPr>
      </w:pPr>
      <w:r>
        <w:rPr>
          <w:rFonts w:hint="eastAsia"/>
          <w:lang w:val="en-US" w:eastAsia="zh-CN"/>
        </w:rPr>
        <w:t>1.供应商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3"/>
        <w:ind w:firstLine="480" w:firstLineChars="200"/>
        <w:rPr>
          <w:rFonts w:hint="eastAsia" w:ascii="宋体"/>
          <w:lang w:val="en-US"/>
        </w:rPr>
      </w:pPr>
      <w:r>
        <w:rPr>
          <w:rFonts w:hint="eastAsia"/>
          <w:lang w:val="en-US" w:eastAsia="zh-CN"/>
        </w:rPr>
        <w:t>2</w:t>
      </w:r>
      <w:r>
        <w:rPr>
          <w:rFonts w:hint="eastAsia" w:ascii="宋体"/>
          <w:lang w:val="en-US"/>
        </w:rPr>
        <w:t>.采购人不再对任何售后服务进行付费。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3"/>
        <w:ind w:firstLine="480" w:firstLineChars="200"/>
        <w:rPr>
          <w:rFonts w:hint="eastAsia" w:ascii="宋体"/>
          <w:lang w:val="en-US"/>
        </w:rPr>
      </w:pPr>
      <w:r>
        <w:rPr>
          <w:rFonts w:hint="eastAsia"/>
          <w:lang w:val="en-US" w:eastAsia="zh-CN"/>
        </w:rPr>
        <w:t>3</w:t>
      </w:r>
      <w:r>
        <w:rPr>
          <w:rFonts w:hint="eastAsia" w:ascii="宋体"/>
          <w:lang w:val="en-US"/>
        </w:rPr>
        <w:t>.在设备使用过程中，因产品质量问题给他机械设备造成故障或货物损坏，由供应商承担采购人的一切损失，包括直接和间接损失。</w:t>
      </w:r>
    </w:p>
    <w:p>
      <w:pPr>
        <w:rPr>
          <w:rFonts w:cs="仿宋" w:asciiTheme="minorEastAsia" w:hAnsiTheme="minorEastAsia"/>
          <w:b/>
          <w:sz w:val="36"/>
          <w:szCs w:val="36"/>
        </w:rPr>
      </w:pPr>
      <w:r>
        <w:rPr>
          <w:rFonts w:cs="仿宋" w:asciiTheme="minorEastAsia" w:hAnsiTheme="minorEastAsia"/>
          <w:b/>
          <w:sz w:val="36"/>
          <w:szCs w:val="36"/>
        </w:rPr>
        <w:br w:type="page"/>
      </w:r>
    </w:p>
    <w:p>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2118"/>
      <w:bookmarkEnd w:id="19"/>
      <w:bookmarkStart w:id="20" w:name="_Toc184312105"/>
      <w:bookmarkEnd w:id="20"/>
      <w:bookmarkStart w:id="21" w:name="_Toc184312098"/>
      <w:bookmarkEnd w:id="21"/>
      <w:bookmarkStart w:id="22" w:name="_Toc184310292"/>
      <w:bookmarkEnd w:id="22"/>
      <w:bookmarkStart w:id="23" w:name="_Toc184308104"/>
      <w:bookmarkEnd w:id="23"/>
      <w:bookmarkStart w:id="24" w:name="_Toc184310319"/>
      <w:bookmarkEnd w:id="24"/>
      <w:bookmarkStart w:id="25" w:name="_Toc184310318"/>
      <w:bookmarkEnd w:id="25"/>
      <w:bookmarkStart w:id="26" w:name="_Toc184308060"/>
      <w:bookmarkEnd w:id="26"/>
      <w:bookmarkStart w:id="27" w:name="_Toc184312113"/>
      <w:bookmarkEnd w:id="27"/>
      <w:bookmarkStart w:id="28" w:name="_Toc184312116"/>
      <w:bookmarkEnd w:id="28"/>
      <w:bookmarkStart w:id="29" w:name="_Toc184313265"/>
      <w:bookmarkEnd w:id="29"/>
      <w:bookmarkStart w:id="30" w:name="_Toc184313286"/>
      <w:bookmarkEnd w:id="30"/>
      <w:bookmarkStart w:id="31" w:name="_Toc184308049"/>
      <w:bookmarkEnd w:id="31"/>
      <w:bookmarkStart w:id="32" w:name="_Toc184312071"/>
      <w:bookmarkEnd w:id="32"/>
      <w:bookmarkStart w:id="33" w:name="_Toc184308043"/>
      <w:bookmarkEnd w:id="33"/>
      <w:bookmarkStart w:id="34" w:name="_Toc184313246"/>
      <w:bookmarkEnd w:id="34"/>
      <w:bookmarkStart w:id="35" w:name="_Toc184314430"/>
      <w:bookmarkEnd w:id="35"/>
      <w:bookmarkStart w:id="36" w:name="_Toc184312080"/>
      <w:bookmarkEnd w:id="36"/>
      <w:bookmarkStart w:id="37" w:name="_Toc184308044"/>
      <w:bookmarkEnd w:id="37"/>
      <w:bookmarkStart w:id="38" w:name="_Toc184314458"/>
      <w:bookmarkEnd w:id="38"/>
      <w:bookmarkStart w:id="39" w:name="_Toc184308080"/>
      <w:bookmarkEnd w:id="39"/>
      <w:bookmarkStart w:id="40" w:name="_Toc184314479"/>
      <w:bookmarkEnd w:id="40"/>
      <w:bookmarkStart w:id="41" w:name="_Toc184314457"/>
      <w:bookmarkEnd w:id="41"/>
      <w:bookmarkStart w:id="42" w:name="_Toc184312085"/>
      <w:bookmarkEnd w:id="42"/>
      <w:bookmarkStart w:id="43" w:name="_Toc184312074"/>
      <w:bookmarkEnd w:id="43"/>
      <w:bookmarkStart w:id="44" w:name="_Toc184313274"/>
      <w:bookmarkEnd w:id="44"/>
      <w:bookmarkStart w:id="45" w:name="_Toc184312078"/>
      <w:bookmarkEnd w:id="45"/>
      <w:bookmarkStart w:id="46" w:name="_Toc184312079"/>
      <w:bookmarkEnd w:id="46"/>
      <w:bookmarkStart w:id="47" w:name="_Toc184308077"/>
      <w:bookmarkEnd w:id="47"/>
      <w:bookmarkStart w:id="48" w:name="_Toc184308076"/>
      <w:bookmarkEnd w:id="48"/>
      <w:bookmarkStart w:id="49" w:name="_Toc184313302"/>
      <w:bookmarkEnd w:id="49"/>
      <w:bookmarkStart w:id="50" w:name="_Toc184310288"/>
      <w:bookmarkEnd w:id="50"/>
      <w:bookmarkStart w:id="51" w:name="_Toc184313239"/>
      <w:bookmarkEnd w:id="51"/>
      <w:bookmarkStart w:id="52" w:name="_Toc184313268"/>
      <w:bookmarkEnd w:id="52"/>
      <w:bookmarkStart w:id="53" w:name="_Toc184313261"/>
      <w:bookmarkEnd w:id="53"/>
      <w:bookmarkStart w:id="54" w:name="_Toc184312100"/>
      <w:bookmarkEnd w:id="54"/>
      <w:bookmarkStart w:id="55" w:name="_Toc184313256"/>
      <w:bookmarkEnd w:id="55"/>
      <w:bookmarkStart w:id="56" w:name="_Toc184310300"/>
      <w:bookmarkEnd w:id="56"/>
      <w:bookmarkStart w:id="57" w:name="_Toc184314447"/>
      <w:bookmarkEnd w:id="57"/>
      <w:bookmarkStart w:id="58" w:name="_Toc184308087"/>
      <w:bookmarkEnd w:id="58"/>
      <w:bookmarkStart w:id="59" w:name="_Toc184312128"/>
      <w:bookmarkEnd w:id="59"/>
      <w:bookmarkStart w:id="60" w:name="_Toc184313258"/>
      <w:bookmarkEnd w:id="60"/>
      <w:bookmarkStart w:id="61" w:name="_Toc184312107"/>
      <w:bookmarkEnd w:id="61"/>
      <w:bookmarkStart w:id="62" w:name="_Toc184312101"/>
      <w:bookmarkEnd w:id="62"/>
      <w:bookmarkStart w:id="63" w:name="_Toc184313249"/>
      <w:bookmarkEnd w:id="63"/>
      <w:bookmarkStart w:id="64" w:name="_Toc184310321"/>
      <w:bookmarkEnd w:id="64"/>
      <w:bookmarkStart w:id="65" w:name="_Toc184312123"/>
      <w:bookmarkEnd w:id="65"/>
      <w:bookmarkStart w:id="66" w:name="_Toc184314434"/>
      <w:bookmarkEnd w:id="66"/>
      <w:bookmarkStart w:id="67" w:name="_Toc184310284"/>
      <w:bookmarkEnd w:id="67"/>
      <w:bookmarkStart w:id="68" w:name="_Toc184310313"/>
      <w:bookmarkEnd w:id="68"/>
      <w:bookmarkStart w:id="69" w:name="_Toc184312086"/>
      <w:bookmarkEnd w:id="69"/>
      <w:bookmarkStart w:id="70" w:name="_Toc184314446"/>
      <w:bookmarkEnd w:id="70"/>
      <w:bookmarkStart w:id="71" w:name="_Toc184314444"/>
      <w:bookmarkEnd w:id="71"/>
      <w:bookmarkStart w:id="72" w:name="_Toc184308045"/>
      <w:bookmarkEnd w:id="72"/>
      <w:bookmarkStart w:id="73" w:name="_Toc184314441"/>
      <w:bookmarkEnd w:id="73"/>
      <w:bookmarkStart w:id="74" w:name="_Toc184312092"/>
      <w:bookmarkEnd w:id="74"/>
      <w:bookmarkStart w:id="75" w:name="_Toc184314474"/>
      <w:bookmarkEnd w:id="75"/>
      <w:bookmarkStart w:id="76" w:name="_Toc184310338"/>
      <w:bookmarkEnd w:id="76"/>
      <w:bookmarkStart w:id="77" w:name="_Toc184310332"/>
      <w:bookmarkEnd w:id="77"/>
      <w:bookmarkStart w:id="78" w:name="_Toc184313255"/>
      <w:bookmarkEnd w:id="78"/>
      <w:bookmarkStart w:id="79" w:name="_Toc184310289"/>
      <w:bookmarkEnd w:id="79"/>
      <w:bookmarkStart w:id="80" w:name="_Toc184308063"/>
      <w:bookmarkEnd w:id="80"/>
      <w:bookmarkStart w:id="81" w:name="_Toc184314440"/>
      <w:bookmarkEnd w:id="81"/>
      <w:bookmarkStart w:id="82" w:name="_Toc184312108"/>
      <w:bookmarkEnd w:id="82"/>
      <w:bookmarkStart w:id="83" w:name="_Toc184308056"/>
      <w:bookmarkEnd w:id="83"/>
      <w:bookmarkStart w:id="84" w:name="_Toc184313283"/>
      <w:bookmarkEnd w:id="84"/>
      <w:bookmarkStart w:id="85" w:name="_Toc184308071"/>
      <w:bookmarkEnd w:id="85"/>
      <w:bookmarkStart w:id="86" w:name="_Toc184313238"/>
      <w:bookmarkEnd w:id="86"/>
      <w:bookmarkStart w:id="87" w:name="_Toc184314425"/>
      <w:bookmarkEnd w:id="87"/>
      <w:bookmarkStart w:id="88" w:name="_Toc184312069"/>
      <w:bookmarkEnd w:id="88"/>
      <w:bookmarkStart w:id="89" w:name="_Toc184308075"/>
      <w:bookmarkEnd w:id="89"/>
      <w:bookmarkStart w:id="90" w:name="_Toc184314422"/>
      <w:bookmarkEnd w:id="90"/>
      <w:bookmarkStart w:id="91" w:name="_Toc184312131"/>
      <w:bookmarkEnd w:id="91"/>
      <w:bookmarkStart w:id="92" w:name="_Toc184312136"/>
      <w:bookmarkEnd w:id="92"/>
      <w:bookmarkStart w:id="93" w:name="_Toc184313306"/>
      <w:bookmarkEnd w:id="93"/>
      <w:bookmarkStart w:id="94" w:name="_Toc184313244"/>
      <w:bookmarkEnd w:id="94"/>
      <w:bookmarkStart w:id="95" w:name="_Toc184310291"/>
      <w:bookmarkEnd w:id="95"/>
      <w:bookmarkStart w:id="96" w:name="_Toc184314428"/>
      <w:bookmarkEnd w:id="96"/>
      <w:bookmarkStart w:id="97" w:name="_Toc184313271"/>
      <w:bookmarkEnd w:id="97"/>
      <w:bookmarkStart w:id="98" w:name="_Toc184313297"/>
      <w:bookmarkEnd w:id="98"/>
      <w:bookmarkStart w:id="99" w:name="_Toc184314416"/>
      <w:bookmarkEnd w:id="99"/>
      <w:bookmarkStart w:id="100" w:name="_Toc184312120"/>
      <w:bookmarkEnd w:id="100"/>
      <w:bookmarkStart w:id="101" w:name="_Toc184308085"/>
      <w:bookmarkEnd w:id="101"/>
      <w:bookmarkStart w:id="102" w:name="_Toc184313269"/>
      <w:bookmarkEnd w:id="102"/>
      <w:bookmarkStart w:id="103" w:name="_Toc184312099"/>
      <w:bookmarkEnd w:id="103"/>
      <w:bookmarkStart w:id="104" w:name="_Toc184312075"/>
      <w:bookmarkEnd w:id="104"/>
      <w:bookmarkStart w:id="105" w:name="_Toc184314445"/>
      <w:bookmarkEnd w:id="105"/>
      <w:bookmarkStart w:id="106" w:name="_Toc184313293"/>
      <w:bookmarkEnd w:id="106"/>
      <w:bookmarkStart w:id="107" w:name="_Toc184310334"/>
      <w:bookmarkEnd w:id="107"/>
      <w:bookmarkStart w:id="108" w:name="_Toc184312111"/>
      <w:bookmarkEnd w:id="108"/>
      <w:bookmarkStart w:id="109" w:name="_Toc184308050"/>
      <w:bookmarkEnd w:id="109"/>
      <w:bookmarkStart w:id="110" w:name="_Toc184314449"/>
      <w:bookmarkEnd w:id="110"/>
      <w:bookmarkStart w:id="111" w:name="_Toc184310296"/>
      <w:bookmarkEnd w:id="111"/>
      <w:bookmarkStart w:id="112" w:name="_Toc184308053"/>
      <w:bookmarkEnd w:id="112"/>
      <w:bookmarkStart w:id="113" w:name="_Toc184314420"/>
      <w:bookmarkEnd w:id="113"/>
      <w:bookmarkStart w:id="114" w:name="_Toc184313296"/>
      <w:bookmarkEnd w:id="114"/>
      <w:bookmarkStart w:id="115" w:name="_Toc184312088"/>
      <w:bookmarkEnd w:id="115"/>
      <w:bookmarkStart w:id="116" w:name="_Toc184312127"/>
      <w:bookmarkEnd w:id="116"/>
      <w:bookmarkStart w:id="117" w:name="_Toc184314442"/>
      <w:bookmarkEnd w:id="117"/>
      <w:bookmarkStart w:id="118" w:name="_Toc184308086"/>
      <w:bookmarkEnd w:id="118"/>
      <w:bookmarkStart w:id="119" w:name="_Toc184308058"/>
      <w:bookmarkEnd w:id="119"/>
      <w:bookmarkStart w:id="120" w:name="_Toc184310342"/>
      <w:bookmarkEnd w:id="120"/>
      <w:bookmarkStart w:id="121" w:name="_Toc184310314"/>
      <w:bookmarkEnd w:id="121"/>
      <w:bookmarkStart w:id="122" w:name="_Toc184308100"/>
      <w:bookmarkEnd w:id="122"/>
      <w:bookmarkStart w:id="123" w:name="_Toc184308073"/>
      <w:bookmarkEnd w:id="123"/>
      <w:bookmarkStart w:id="124" w:name="_Toc184312093"/>
      <w:bookmarkEnd w:id="124"/>
      <w:bookmarkStart w:id="125" w:name="_Toc184314452"/>
      <w:bookmarkEnd w:id="125"/>
      <w:bookmarkStart w:id="126" w:name="_Toc184314418"/>
      <w:bookmarkEnd w:id="126"/>
      <w:bookmarkStart w:id="127" w:name="_Toc184312138"/>
      <w:bookmarkEnd w:id="127"/>
      <w:bookmarkStart w:id="128" w:name="_Toc184312095"/>
      <w:bookmarkEnd w:id="128"/>
      <w:bookmarkStart w:id="129" w:name="_Toc184310290"/>
      <w:bookmarkEnd w:id="129"/>
      <w:bookmarkStart w:id="130" w:name="_Toc184310307"/>
      <w:bookmarkEnd w:id="130"/>
      <w:bookmarkStart w:id="131" w:name="_Toc184308062"/>
      <w:bookmarkEnd w:id="131"/>
      <w:bookmarkStart w:id="132" w:name="_Toc184310317"/>
      <w:bookmarkEnd w:id="132"/>
      <w:bookmarkStart w:id="133" w:name="_Toc184310335"/>
      <w:bookmarkEnd w:id="133"/>
      <w:bookmarkStart w:id="134" w:name="_Toc184308054"/>
      <w:bookmarkEnd w:id="134"/>
      <w:bookmarkStart w:id="135" w:name="_Toc184312076"/>
      <w:bookmarkEnd w:id="135"/>
      <w:bookmarkStart w:id="136" w:name="_Toc184314450"/>
      <w:bookmarkEnd w:id="136"/>
      <w:bookmarkStart w:id="137" w:name="_Toc184312122"/>
      <w:bookmarkEnd w:id="137"/>
      <w:bookmarkStart w:id="138" w:name="_Toc184313300"/>
      <w:bookmarkEnd w:id="138"/>
      <w:bookmarkStart w:id="139" w:name="_Toc184308095"/>
      <w:bookmarkEnd w:id="139"/>
      <w:bookmarkStart w:id="140" w:name="_Toc184312089"/>
      <w:bookmarkEnd w:id="140"/>
      <w:bookmarkStart w:id="141" w:name="_Toc184313272"/>
      <w:bookmarkEnd w:id="141"/>
      <w:bookmarkStart w:id="142" w:name="_Toc184310322"/>
      <w:bookmarkEnd w:id="142"/>
      <w:bookmarkStart w:id="143" w:name="_Toc184313282"/>
      <w:bookmarkEnd w:id="143"/>
      <w:bookmarkStart w:id="144" w:name="_Toc184313252"/>
      <w:bookmarkEnd w:id="144"/>
      <w:bookmarkStart w:id="145" w:name="_Toc184308081"/>
      <w:bookmarkEnd w:id="145"/>
      <w:bookmarkStart w:id="146" w:name="_Toc184312106"/>
      <w:bookmarkEnd w:id="146"/>
      <w:bookmarkStart w:id="147" w:name="_Toc184308105"/>
      <w:bookmarkEnd w:id="147"/>
      <w:bookmarkStart w:id="148" w:name="_Toc184314466"/>
      <w:bookmarkEnd w:id="148"/>
      <w:bookmarkStart w:id="149" w:name="_Toc184313245"/>
      <w:bookmarkEnd w:id="149"/>
      <w:bookmarkStart w:id="150" w:name="_Toc184313263"/>
      <w:bookmarkEnd w:id="150"/>
      <w:bookmarkStart w:id="151" w:name="_Toc184314455"/>
      <w:bookmarkEnd w:id="151"/>
      <w:bookmarkStart w:id="152" w:name="_Toc184314477"/>
      <w:bookmarkEnd w:id="152"/>
      <w:bookmarkStart w:id="153" w:name="_Toc184310305"/>
      <w:bookmarkEnd w:id="153"/>
      <w:bookmarkStart w:id="154" w:name="_Toc184312072"/>
      <w:bookmarkEnd w:id="154"/>
      <w:bookmarkStart w:id="155" w:name="_Toc184308037"/>
      <w:bookmarkEnd w:id="155"/>
      <w:bookmarkStart w:id="156" w:name="_Toc184308094"/>
      <w:bookmarkEnd w:id="156"/>
      <w:bookmarkStart w:id="157" w:name="_Toc184310329"/>
      <w:bookmarkEnd w:id="157"/>
      <w:bookmarkStart w:id="158" w:name="_Toc184314468"/>
      <w:bookmarkEnd w:id="158"/>
      <w:bookmarkStart w:id="159" w:name="_Toc184310282"/>
      <w:bookmarkEnd w:id="159"/>
      <w:bookmarkStart w:id="160" w:name="_Toc184313310"/>
      <w:bookmarkEnd w:id="160"/>
      <w:bookmarkStart w:id="161" w:name="_Toc184313242"/>
      <w:bookmarkEnd w:id="161"/>
      <w:bookmarkStart w:id="162" w:name="_Toc184313289"/>
      <w:bookmarkEnd w:id="162"/>
      <w:bookmarkStart w:id="163" w:name="_Toc184314436"/>
      <w:bookmarkEnd w:id="163"/>
      <w:bookmarkStart w:id="164" w:name="_Toc184308082"/>
      <w:bookmarkEnd w:id="164"/>
      <w:bookmarkStart w:id="165" w:name="_Toc184310339"/>
      <w:bookmarkEnd w:id="165"/>
      <w:bookmarkStart w:id="166" w:name="_Toc184313304"/>
      <w:bookmarkEnd w:id="166"/>
      <w:bookmarkStart w:id="167" w:name="_Toc184313294"/>
      <w:bookmarkEnd w:id="167"/>
      <w:bookmarkStart w:id="168" w:name="_Toc184310327"/>
      <w:bookmarkEnd w:id="168"/>
      <w:bookmarkStart w:id="169" w:name="_Toc184310274"/>
      <w:bookmarkEnd w:id="169"/>
      <w:bookmarkStart w:id="170" w:name="_Toc184308041"/>
      <w:bookmarkEnd w:id="170"/>
      <w:bookmarkStart w:id="171" w:name="_Toc184313301"/>
      <w:bookmarkEnd w:id="171"/>
      <w:bookmarkStart w:id="172" w:name="_Toc184310333"/>
      <w:bookmarkEnd w:id="172"/>
      <w:bookmarkStart w:id="173" w:name="_Toc184308047"/>
      <w:bookmarkEnd w:id="173"/>
      <w:bookmarkStart w:id="174" w:name="_Toc184313250"/>
      <w:bookmarkEnd w:id="174"/>
      <w:bookmarkStart w:id="175" w:name="_Toc184313248"/>
      <w:bookmarkEnd w:id="175"/>
      <w:bookmarkStart w:id="176" w:name="_Toc184312103"/>
      <w:bookmarkEnd w:id="176"/>
      <w:bookmarkStart w:id="177" w:name="_Toc184310283"/>
      <w:bookmarkEnd w:id="177"/>
      <w:bookmarkStart w:id="178" w:name="_Toc184310285"/>
      <w:bookmarkEnd w:id="178"/>
      <w:bookmarkStart w:id="179" w:name="_Toc184314460"/>
      <w:bookmarkEnd w:id="179"/>
      <w:bookmarkStart w:id="180" w:name="_Toc184308068"/>
      <w:bookmarkEnd w:id="180"/>
      <w:bookmarkStart w:id="181" w:name="_Toc184308072"/>
      <w:bookmarkEnd w:id="181"/>
      <w:bookmarkStart w:id="182" w:name="_Toc184310299"/>
      <w:bookmarkEnd w:id="182"/>
      <w:bookmarkStart w:id="183" w:name="_Toc184310281"/>
      <w:bookmarkEnd w:id="183"/>
      <w:bookmarkStart w:id="184" w:name="_Toc184310308"/>
      <w:bookmarkEnd w:id="184"/>
      <w:bookmarkStart w:id="185" w:name="_Toc184312117"/>
      <w:bookmarkEnd w:id="185"/>
      <w:bookmarkStart w:id="186" w:name="_Toc184314480"/>
      <w:bookmarkEnd w:id="186"/>
      <w:bookmarkStart w:id="187" w:name="_Toc184308091"/>
      <w:bookmarkEnd w:id="187"/>
      <w:bookmarkStart w:id="188" w:name="_Toc184312096"/>
      <w:bookmarkEnd w:id="188"/>
      <w:bookmarkStart w:id="189" w:name="_Toc184312132"/>
      <w:bookmarkEnd w:id="189"/>
      <w:bookmarkStart w:id="190" w:name="_Toc184314448"/>
      <w:bookmarkEnd w:id="190"/>
      <w:bookmarkStart w:id="191" w:name="_Toc184308061"/>
      <w:bookmarkEnd w:id="191"/>
      <w:bookmarkStart w:id="192" w:name="_Toc184313280"/>
      <w:bookmarkEnd w:id="192"/>
      <w:bookmarkStart w:id="193" w:name="_Toc184314423"/>
      <w:bookmarkEnd w:id="193"/>
      <w:bookmarkStart w:id="194" w:name="_Toc184314417"/>
      <w:bookmarkEnd w:id="194"/>
      <w:bookmarkStart w:id="195" w:name="_Toc184313287"/>
      <w:bookmarkEnd w:id="195"/>
      <w:bookmarkStart w:id="196" w:name="_Toc184310306"/>
      <w:bookmarkEnd w:id="196"/>
      <w:bookmarkStart w:id="197" w:name="_Toc184312073"/>
      <w:bookmarkEnd w:id="197"/>
      <w:bookmarkStart w:id="198" w:name="_Toc184312097"/>
      <w:bookmarkEnd w:id="198"/>
      <w:bookmarkStart w:id="199" w:name="_Toc184314443"/>
      <w:bookmarkEnd w:id="199"/>
      <w:bookmarkStart w:id="200" w:name="_Toc184308101"/>
      <w:bookmarkEnd w:id="200"/>
      <w:bookmarkStart w:id="201" w:name="_Toc184314467"/>
      <w:bookmarkEnd w:id="201"/>
      <w:bookmarkStart w:id="202" w:name="_Toc184310286"/>
      <w:bookmarkEnd w:id="202"/>
      <w:bookmarkStart w:id="203" w:name="_Toc184308038"/>
      <w:bookmarkEnd w:id="203"/>
      <w:bookmarkStart w:id="204" w:name="_Toc184313308"/>
      <w:bookmarkEnd w:id="204"/>
      <w:bookmarkStart w:id="205" w:name="_Toc184310326"/>
      <w:bookmarkEnd w:id="205"/>
      <w:bookmarkStart w:id="206" w:name="_Toc184308051"/>
      <w:bookmarkEnd w:id="206"/>
      <w:bookmarkStart w:id="207" w:name="_Toc184313243"/>
      <w:bookmarkEnd w:id="207"/>
      <w:bookmarkStart w:id="208" w:name="_Toc184314470"/>
      <w:bookmarkEnd w:id="208"/>
      <w:bookmarkStart w:id="209" w:name="_Toc184313266"/>
      <w:bookmarkEnd w:id="209"/>
      <w:bookmarkStart w:id="210" w:name="_Toc184310325"/>
      <w:bookmarkEnd w:id="210"/>
      <w:bookmarkStart w:id="211" w:name="_Toc184308055"/>
      <w:bookmarkEnd w:id="211"/>
      <w:bookmarkStart w:id="212" w:name="_Toc184314464"/>
      <w:bookmarkEnd w:id="212"/>
      <w:bookmarkStart w:id="213" w:name="_Toc184310275"/>
      <w:bookmarkEnd w:id="213"/>
      <w:bookmarkStart w:id="214" w:name="_Toc184314410"/>
      <w:bookmarkEnd w:id="214"/>
      <w:bookmarkStart w:id="215" w:name="_Toc184313270"/>
      <w:bookmarkEnd w:id="215"/>
      <w:bookmarkStart w:id="216" w:name="_Toc184314431"/>
      <w:bookmarkEnd w:id="216"/>
      <w:bookmarkStart w:id="217" w:name="_Toc184313251"/>
      <w:bookmarkEnd w:id="217"/>
      <w:bookmarkStart w:id="218" w:name="_Toc184313267"/>
      <w:bookmarkEnd w:id="218"/>
      <w:bookmarkStart w:id="219" w:name="_Toc184313292"/>
      <w:bookmarkEnd w:id="219"/>
      <w:bookmarkStart w:id="220" w:name="_Toc184308036"/>
      <w:bookmarkEnd w:id="220"/>
      <w:bookmarkStart w:id="221" w:name="_Toc184310324"/>
      <w:bookmarkEnd w:id="221"/>
      <w:bookmarkStart w:id="222" w:name="_Toc184310311"/>
      <w:bookmarkEnd w:id="222"/>
      <w:bookmarkStart w:id="223" w:name="_Toc184310297"/>
      <w:bookmarkEnd w:id="223"/>
      <w:bookmarkStart w:id="224" w:name="_Toc184313276"/>
      <w:bookmarkEnd w:id="224"/>
      <w:bookmarkStart w:id="225" w:name="_Toc184313281"/>
      <w:bookmarkEnd w:id="225"/>
      <w:bookmarkStart w:id="226" w:name="_Toc184314438"/>
      <w:bookmarkEnd w:id="226"/>
      <w:bookmarkStart w:id="227" w:name="_Toc184310287"/>
      <w:bookmarkEnd w:id="227"/>
      <w:bookmarkStart w:id="228" w:name="_Toc184313264"/>
      <w:bookmarkEnd w:id="228"/>
      <w:bookmarkStart w:id="229" w:name="_Toc184313260"/>
      <w:bookmarkEnd w:id="229"/>
      <w:bookmarkStart w:id="230" w:name="_Toc184308097"/>
      <w:bookmarkEnd w:id="230"/>
      <w:bookmarkStart w:id="231" w:name="_Toc184313254"/>
      <w:bookmarkEnd w:id="231"/>
      <w:bookmarkStart w:id="232" w:name="_Toc184312081"/>
      <w:bookmarkEnd w:id="232"/>
      <w:bookmarkStart w:id="233" w:name="_Toc184312110"/>
      <w:bookmarkEnd w:id="233"/>
      <w:bookmarkStart w:id="234" w:name="_Toc184308089"/>
      <w:bookmarkEnd w:id="234"/>
      <w:bookmarkStart w:id="235" w:name="_Toc184310304"/>
      <w:bookmarkEnd w:id="235"/>
      <w:bookmarkStart w:id="236" w:name="_Toc184308088"/>
      <w:bookmarkEnd w:id="236"/>
      <w:bookmarkStart w:id="237" w:name="_Toc184308103"/>
      <w:bookmarkEnd w:id="237"/>
      <w:bookmarkStart w:id="238" w:name="_Toc184314415"/>
      <w:bookmarkEnd w:id="238"/>
      <w:bookmarkStart w:id="239" w:name="_Toc184312082"/>
      <w:bookmarkEnd w:id="239"/>
      <w:bookmarkStart w:id="240" w:name="_Toc184312126"/>
      <w:bookmarkEnd w:id="240"/>
      <w:bookmarkStart w:id="241" w:name="_Toc184314475"/>
      <w:bookmarkEnd w:id="241"/>
      <w:bookmarkStart w:id="242" w:name="_Toc184314426"/>
      <w:bookmarkEnd w:id="242"/>
      <w:bookmarkStart w:id="243" w:name="_Toc184310316"/>
      <w:bookmarkEnd w:id="243"/>
      <w:bookmarkStart w:id="244" w:name="_Toc184312137"/>
      <w:bookmarkEnd w:id="244"/>
      <w:bookmarkStart w:id="245" w:name="_Toc184314424"/>
      <w:bookmarkEnd w:id="245"/>
      <w:bookmarkStart w:id="246" w:name="_Toc184310330"/>
      <w:bookmarkEnd w:id="246"/>
      <w:bookmarkStart w:id="247" w:name="_Toc184308092"/>
      <w:bookmarkEnd w:id="247"/>
      <w:bookmarkStart w:id="248" w:name="_Toc184313259"/>
      <w:bookmarkEnd w:id="248"/>
      <w:bookmarkStart w:id="249" w:name="_Toc184313295"/>
      <w:bookmarkEnd w:id="249"/>
      <w:bookmarkStart w:id="250" w:name="_Toc184312077"/>
      <w:bookmarkEnd w:id="250"/>
      <w:bookmarkStart w:id="251" w:name="_Toc184313240"/>
      <w:bookmarkEnd w:id="251"/>
      <w:bookmarkStart w:id="252" w:name="_Toc184308067"/>
      <w:bookmarkEnd w:id="252"/>
      <w:bookmarkStart w:id="253" w:name="_Toc184312083"/>
      <w:bookmarkEnd w:id="253"/>
      <w:bookmarkStart w:id="254" w:name="_Toc184314437"/>
      <w:bookmarkEnd w:id="254"/>
      <w:bookmarkStart w:id="255" w:name="_Toc184310331"/>
      <w:bookmarkEnd w:id="255"/>
      <w:bookmarkStart w:id="256" w:name="_Toc184312135"/>
      <w:bookmarkEnd w:id="256"/>
      <w:bookmarkStart w:id="257" w:name="_Toc184308040"/>
      <w:bookmarkEnd w:id="257"/>
      <w:bookmarkStart w:id="258" w:name="_Toc184310309"/>
      <w:bookmarkEnd w:id="258"/>
      <w:bookmarkStart w:id="259" w:name="_Toc184310344"/>
      <w:bookmarkEnd w:id="259"/>
      <w:bookmarkStart w:id="260" w:name="_Toc184308093"/>
      <w:bookmarkEnd w:id="260"/>
      <w:bookmarkStart w:id="261" w:name="_Toc184308042"/>
      <w:bookmarkEnd w:id="261"/>
      <w:bookmarkStart w:id="262" w:name="_Toc184313284"/>
      <w:bookmarkEnd w:id="262"/>
      <w:bookmarkStart w:id="263" w:name="_Toc184314463"/>
      <w:bookmarkEnd w:id="263"/>
      <w:bookmarkStart w:id="264" w:name="_Toc184308066"/>
      <w:bookmarkEnd w:id="264"/>
      <w:bookmarkStart w:id="265" w:name="_Toc184312104"/>
      <w:bookmarkEnd w:id="265"/>
      <w:bookmarkStart w:id="266" w:name="_Toc184308107"/>
      <w:bookmarkEnd w:id="266"/>
      <w:bookmarkStart w:id="267" w:name="_Toc184314471"/>
      <w:bookmarkEnd w:id="267"/>
      <w:bookmarkStart w:id="268" w:name="_Toc184310336"/>
      <w:bookmarkEnd w:id="268"/>
      <w:bookmarkStart w:id="269" w:name="_Toc184313285"/>
      <w:bookmarkEnd w:id="269"/>
      <w:bookmarkStart w:id="270" w:name="_Toc184308096"/>
      <w:bookmarkEnd w:id="270"/>
      <w:bookmarkStart w:id="271" w:name="_Toc184312070"/>
      <w:bookmarkEnd w:id="271"/>
      <w:bookmarkStart w:id="272" w:name="_Toc184314433"/>
      <w:bookmarkEnd w:id="272"/>
      <w:bookmarkStart w:id="273" w:name="_Toc184312102"/>
      <w:bookmarkEnd w:id="273"/>
      <w:bookmarkStart w:id="274" w:name="_Toc184308039"/>
      <w:bookmarkEnd w:id="274"/>
      <w:bookmarkStart w:id="275" w:name="_Toc184313253"/>
      <w:bookmarkEnd w:id="275"/>
      <w:bookmarkStart w:id="276" w:name="_Toc184308052"/>
      <w:bookmarkEnd w:id="276"/>
      <w:bookmarkStart w:id="277" w:name="_Toc184313279"/>
      <w:bookmarkEnd w:id="277"/>
      <w:bookmarkStart w:id="278" w:name="_Toc184310301"/>
      <w:bookmarkEnd w:id="278"/>
      <w:bookmarkStart w:id="279" w:name="_Toc184314411"/>
      <w:bookmarkEnd w:id="279"/>
      <w:bookmarkStart w:id="280" w:name="_Toc184310341"/>
      <w:bookmarkEnd w:id="280"/>
      <w:bookmarkStart w:id="281" w:name="_Toc184310298"/>
      <w:bookmarkEnd w:id="281"/>
      <w:bookmarkStart w:id="282" w:name="_Toc184314435"/>
      <w:bookmarkEnd w:id="282"/>
      <w:bookmarkStart w:id="283" w:name="_Toc184312133"/>
      <w:bookmarkEnd w:id="283"/>
      <w:bookmarkStart w:id="284" w:name="_Toc184308065"/>
      <w:bookmarkEnd w:id="284"/>
      <w:bookmarkStart w:id="285" w:name="_Toc184310293"/>
      <w:bookmarkEnd w:id="285"/>
      <w:bookmarkStart w:id="286" w:name="_Toc184310337"/>
      <w:bookmarkEnd w:id="286"/>
      <w:bookmarkStart w:id="287" w:name="_Toc184312139"/>
      <w:bookmarkEnd w:id="287"/>
      <w:bookmarkStart w:id="288" w:name="_Toc184310323"/>
      <w:bookmarkEnd w:id="288"/>
      <w:bookmarkStart w:id="289" w:name="_Toc184308070"/>
      <w:bookmarkEnd w:id="289"/>
      <w:bookmarkStart w:id="290" w:name="_Toc184314432"/>
      <w:bookmarkEnd w:id="290"/>
      <w:bookmarkStart w:id="291" w:name="_Toc184308098"/>
      <w:bookmarkEnd w:id="291"/>
      <w:bookmarkStart w:id="292" w:name="_Toc184312084"/>
      <w:bookmarkEnd w:id="292"/>
      <w:bookmarkStart w:id="293" w:name="_Toc184314454"/>
      <w:bookmarkEnd w:id="293"/>
      <w:bookmarkStart w:id="294" w:name="_Toc184312114"/>
      <w:bookmarkEnd w:id="294"/>
      <w:bookmarkStart w:id="295" w:name="_Toc184312129"/>
      <w:bookmarkEnd w:id="295"/>
      <w:bookmarkStart w:id="296" w:name="_Toc184308069"/>
      <w:bookmarkEnd w:id="296"/>
      <w:bookmarkStart w:id="297" w:name="_Toc184308084"/>
      <w:bookmarkEnd w:id="297"/>
      <w:bookmarkStart w:id="298" w:name="_Toc184314465"/>
      <w:bookmarkEnd w:id="298"/>
      <w:bookmarkStart w:id="299" w:name="_Toc184314461"/>
      <w:bookmarkEnd w:id="299"/>
      <w:bookmarkStart w:id="300" w:name="_Toc184313303"/>
      <w:bookmarkEnd w:id="300"/>
      <w:bookmarkStart w:id="301" w:name="_Toc184310328"/>
      <w:bookmarkEnd w:id="301"/>
      <w:bookmarkStart w:id="302" w:name="_Toc184314462"/>
      <w:bookmarkEnd w:id="302"/>
      <w:bookmarkStart w:id="303" w:name="_Toc184312130"/>
      <w:bookmarkEnd w:id="303"/>
      <w:bookmarkStart w:id="304" w:name="_Toc184312087"/>
      <w:bookmarkEnd w:id="304"/>
      <w:bookmarkStart w:id="305" w:name="_Toc184312134"/>
      <w:bookmarkEnd w:id="305"/>
      <w:bookmarkStart w:id="306" w:name="_Toc184310279"/>
      <w:bookmarkEnd w:id="306"/>
      <w:bookmarkStart w:id="307" w:name="_Toc184310273"/>
      <w:bookmarkEnd w:id="307"/>
      <w:bookmarkStart w:id="308" w:name="_Toc184308083"/>
      <w:bookmarkEnd w:id="308"/>
      <w:bookmarkStart w:id="309" w:name="_Toc184314439"/>
      <w:bookmarkEnd w:id="309"/>
      <w:bookmarkStart w:id="310" w:name="_Toc184314478"/>
      <w:bookmarkEnd w:id="310"/>
      <w:bookmarkStart w:id="311" w:name="_Toc184314459"/>
      <w:bookmarkEnd w:id="311"/>
      <w:bookmarkStart w:id="312" w:name="_Toc184312109"/>
      <w:bookmarkEnd w:id="312"/>
      <w:bookmarkStart w:id="313" w:name="_Toc184312067"/>
      <w:bookmarkEnd w:id="313"/>
      <w:bookmarkStart w:id="314" w:name="_Toc184312125"/>
      <w:bookmarkEnd w:id="314"/>
      <w:bookmarkStart w:id="315" w:name="_Toc184314414"/>
      <w:bookmarkEnd w:id="315"/>
      <w:bookmarkStart w:id="316" w:name="_Toc184314421"/>
      <w:bookmarkEnd w:id="316"/>
      <w:bookmarkStart w:id="317" w:name="_Toc184314469"/>
      <w:bookmarkEnd w:id="317"/>
      <w:bookmarkStart w:id="318" w:name="_Toc184310343"/>
      <w:bookmarkEnd w:id="318"/>
      <w:bookmarkStart w:id="319" w:name="_Toc184312090"/>
      <w:bookmarkEnd w:id="319"/>
      <w:bookmarkStart w:id="320" w:name="_Toc184314451"/>
      <w:bookmarkEnd w:id="320"/>
      <w:bookmarkStart w:id="321" w:name="_Toc184312121"/>
      <w:bookmarkEnd w:id="321"/>
      <w:bookmarkStart w:id="322" w:name="_Toc184313257"/>
      <w:bookmarkEnd w:id="322"/>
      <w:bookmarkStart w:id="323" w:name="_Toc184313241"/>
      <w:bookmarkEnd w:id="323"/>
      <w:bookmarkStart w:id="324" w:name="_Toc184314482"/>
      <w:bookmarkEnd w:id="324"/>
      <w:bookmarkStart w:id="325" w:name="_Toc184314412"/>
      <w:bookmarkEnd w:id="325"/>
      <w:bookmarkStart w:id="326" w:name="_Toc184312115"/>
      <w:bookmarkEnd w:id="326"/>
      <w:bookmarkStart w:id="327" w:name="_Toc184310277"/>
      <w:bookmarkEnd w:id="327"/>
      <w:bookmarkStart w:id="328" w:name="_Toc184308102"/>
      <w:bookmarkEnd w:id="328"/>
      <w:bookmarkStart w:id="329" w:name="_Toc184308108"/>
      <w:bookmarkEnd w:id="329"/>
      <w:bookmarkStart w:id="330" w:name="_Toc184313273"/>
      <w:bookmarkEnd w:id="330"/>
      <w:bookmarkStart w:id="331" w:name="_Toc184308074"/>
      <w:bookmarkEnd w:id="331"/>
      <w:bookmarkStart w:id="332" w:name="_Toc184308046"/>
      <w:bookmarkEnd w:id="332"/>
      <w:bookmarkStart w:id="333" w:name="_Toc184314413"/>
      <w:bookmarkEnd w:id="333"/>
      <w:bookmarkStart w:id="334" w:name="_Toc184313262"/>
      <w:bookmarkEnd w:id="334"/>
      <w:bookmarkStart w:id="335" w:name="_Toc184310303"/>
      <w:bookmarkEnd w:id="335"/>
      <w:bookmarkStart w:id="336" w:name="_Toc184312119"/>
      <w:bookmarkEnd w:id="336"/>
      <w:bookmarkStart w:id="337" w:name="_Toc184310294"/>
      <w:bookmarkEnd w:id="337"/>
      <w:bookmarkStart w:id="338" w:name="_Toc184310302"/>
      <w:bookmarkEnd w:id="338"/>
      <w:bookmarkStart w:id="339" w:name="_Toc184312091"/>
      <w:bookmarkEnd w:id="339"/>
      <w:bookmarkStart w:id="340" w:name="_Toc184308099"/>
      <w:bookmarkEnd w:id="340"/>
      <w:bookmarkStart w:id="341" w:name="_Toc184310320"/>
      <w:bookmarkEnd w:id="341"/>
      <w:bookmarkStart w:id="342" w:name="_Toc184313309"/>
      <w:bookmarkEnd w:id="342"/>
      <w:bookmarkStart w:id="343" w:name="_Toc184314419"/>
      <w:bookmarkEnd w:id="343"/>
      <w:bookmarkStart w:id="344" w:name="_Toc184313278"/>
      <w:bookmarkEnd w:id="344"/>
      <w:bookmarkStart w:id="345" w:name="_Toc184314429"/>
      <w:bookmarkEnd w:id="345"/>
      <w:bookmarkStart w:id="346" w:name="_Toc184308106"/>
      <w:bookmarkEnd w:id="346"/>
      <w:bookmarkStart w:id="347" w:name="_Toc184314453"/>
      <w:bookmarkEnd w:id="347"/>
      <w:bookmarkStart w:id="348" w:name="_Toc184313307"/>
      <w:bookmarkEnd w:id="348"/>
      <w:bookmarkStart w:id="349" w:name="_Toc184314472"/>
      <w:bookmarkEnd w:id="349"/>
      <w:bookmarkStart w:id="350" w:name="_Toc184312094"/>
      <w:bookmarkEnd w:id="350"/>
      <w:bookmarkStart w:id="351" w:name="_Toc184313277"/>
      <w:bookmarkEnd w:id="351"/>
      <w:bookmarkStart w:id="352" w:name="_Toc184313305"/>
      <w:bookmarkEnd w:id="352"/>
      <w:bookmarkStart w:id="353" w:name="_Toc184310278"/>
      <w:bookmarkEnd w:id="353"/>
      <w:bookmarkStart w:id="354" w:name="_Toc184314476"/>
      <w:bookmarkEnd w:id="354"/>
      <w:bookmarkStart w:id="355" w:name="_Toc184313299"/>
      <w:bookmarkEnd w:id="355"/>
      <w:bookmarkStart w:id="356" w:name="_Toc184308064"/>
      <w:bookmarkEnd w:id="356"/>
      <w:bookmarkStart w:id="357" w:name="_Toc184314481"/>
      <w:bookmarkEnd w:id="357"/>
      <w:bookmarkStart w:id="358" w:name="_Toc184312124"/>
      <w:bookmarkEnd w:id="358"/>
      <w:bookmarkStart w:id="359" w:name="_Toc184310340"/>
      <w:bookmarkEnd w:id="359"/>
      <w:bookmarkStart w:id="360" w:name="_Toc184313275"/>
      <w:bookmarkEnd w:id="360"/>
      <w:bookmarkStart w:id="361" w:name="_Toc184308048"/>
      <w:bookmarkEnd w:id="361"/>
      <w:bookmarkStart w:id="362" w:name="_Toc184308090"/>
      <w:bookmarkEnd w:id="362"/>
      <w:bookmarkStart w:id="363" w:name="_Toc184314456"/>
      <w:bookmarkEnd w:id="363"/>
      <w:bookmarkStart w:id="364" w:name="_Toc184310312"/>
      <w:bookmarkEnd w:id="364"/>
      <w:bookmarkStart w:id="365" w:name="_Toc184310295"/>
      <w:bookmarkEnd w:id="365"/>
      <w:bookmarkStart w:id="366" w:name="_Toc184314473"/>
      <w:bookmarkEnd w:id="366"/>
      <w:bookmarkStart w:id="367" w:name="_Toc184313291"/>
      <w:bookmarkEnd w:id="367"/>
      <w:bookmarkStart w:id="368" w:name="_Toc184314427"/>
      <w:bookmarkEnd w:id="368"/>
      <w:bookmarkStart w:id="369" w:name="_Toc184313247"/>
      <w:bookmarkEnd w:id="369"/>
      <w:bookmarkStart w:id="370" w:name="_Toc184312112"/>
      <w:bookmarkEnd w:id="370"/>
      <w:bookmarkStart w:id="371" w:name="_Toc184310276"/>
      <w:bookmarkEnd w:id="371"/>
      <w:bookmarkStart w:id="372" w:name="_Toc184308079"/>
      <w:bookmarkEnd w:id="372"/>
      <w:bookmarkStart w:id="373" w:name="_Toc184313288"/>
      <w:bookmarkEnd w:id="373"/>
      <w:bookmarkStart w:id="374" w:name="_Toc184310280"/>
      <w:bookmarkEnd w:id="374"/>
      <w:bookmarkStart w:id="375" w:name="_Toc184313298"/>
      <w:bookmarkEnd w:id="375"/>
      <w:bookmarkStart w:id="376" w:name="_Toc184308078"/>
      <w:bookmarkEnd w:id="376"/>
      <w:bookmarkStart w:id="377" w:name="_Toc184313290"/>
      <w:bookmarkEnd w:id="377"/>
      <w:bookmarkStart w:id="378" w:name="_Toc184312068"/>
      <w:bookmarkEnd w:id="378"/>
      <w:bookmarkStart w:id="379" w:name="_Toc184310272"/>
      <w:bookmarkEnd w:id="379"/>
      <w:bookmarkStart w:id="380" w:name="_Toc184308057"/>
      <w:bookmarkEnd w:id="380"/>
      <w:bookmarkStart w:id="381" w:name="_Toc184308059"/>
      <w:bookmarkEnd w:id="381"/>
      <w:bookmarkStart w:id="382" w:name="_Toc184310310"/>
      <w:bookmarkEnd w:id="382"/>
      <w:bookmarkStart w:id="383" w:name="_Toc184310315"/>
      <w:bookmarkEnd w:id="383"/>
      <w:r>
        <w:rPr>
          <w:rFonts w:hint="eastAsia" w:cs="仿宋" w:asciiTheme="minorEastAsia" w:hAnsiTheme="minorEastAsia"/>
          <w:b/>
          <w:sz w:val="36"/>
          <w:szCs w:val="36"/>
        </w:rPr>
        <w:t>评审方法</w:t>
      </w:r>
    </w:p>
    <w:p>
      <w:pPr>
        <w:adjustRightInd w:val="0"/>
        <w:snapToGrid w:val="0"/>
        <w:spacing w:line="460" w:lineRule="exact"/>
        <w:ind w:firstLine="480" w:firstLineChars="200"/>
        <w:rPr>
          <w:rFonts w:cs="仿宋" w:asciiTheme="minorEastAsia" w:hAnsiTheme="minorEastAsia"/>
          <w:sz w:val="24"/>
        </w:rPr>
      </w:pP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9"/>
        <w:spacing w:line="360" w:lineRule="auto"/>
        <w:ind w:left="954" w:leftChars="226" w:hanging="479" w:firstLineChars="0"/>
        <w:rPr>
          <w:rFonts w:cs="宋体"/>
          <w:b/>
          <w:bCs/>
          <w:szCs w:val="21"/>
        </w:rPr>
      </w:pPr>
      <w:r>
        <w:rPr>
          <w:rFonts w:hint="eastAsia" w:cs="宋体"/>
          <w:b/>
          <w:bCs/>
          <w:szCs w:val="21"/>
        </w:rPr>
        <w:t>有下列情形之一的，响应无效：</w:t>
      </w:r>
    </w:p>
    <w:p>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lang w:eastAsia="zh-CN"/>
        </w:rPr>
        <w:t>；</w:t>
      </w:r>
    </w:p>
    <w:p>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lang w:eastAsia="zh-CN"/>
        </w:rPr>
        <w:t>；</w:t>
      </w:r>
    </w:p>
    <w:p>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3"/>
        <w:ind w:firstLine="480" w:firstLineChars="200"/>
      </w:pPr>
      <w:r>
        <w:rPr>
          <w:lang w:val="en-US"/>
        </w:rPr>
        <w:t>1.1</w:t>
      </w:r>
      <w:r>
        <w:rPr>
          <w:rFonts w:hint="eastAsia"/>
        </w:rPr>
        <w:t>若出现税率不一致的情况，以除税总金额相对比。</w:t>
      </w:r>
    </w:p>
    <w:p>
      <w:pPr>
        <w:widowControl/>
        <w:snapToGrid w:val="0"/>
        <w:spacing w:line="460" w:lineRule="exact"/>
        <w:ind w:firstLine="480" w:firstLineChars="200"/>
      </w:pPr>
      <w:r>
        <w:rPr>
          <w:rFonts w:hint="eastAsia" w:cs="仿宋" w:asciiTheme="minorEastAsia" w:hAnsiTheme="minorEastAsia"/>
          <w:color w:val="auto"/>
          <w:sz w:val="24"/>
          <w:lang w:val="en-US"/>
        </w:rPr>
        <w:t>1.2.若出现相同总金额最低报价情况时，则由评审小组按少数服从多数的原则通过投票表决决定。</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pPr>
        <w:numPr>
          <w:ilvl w:val="0"/>
          <w:numId w:val="1"/>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rPr>
          <w:rFonts w:ascii="宋体" w:hAnsi="宋体" w:cs="宋体"/>
          <w:sz w:val="24"/>
        </w:rPr>
      </w:pPr>
    </w:p>
    <w:p>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pacing w:line="480" w:lineRule="auto"/>
        <w:rPr>
          <w:rFonts w:ascii="宋体" w:hAnsi="宋体" w:cs="宋体"/>
          <w:b/>
          <w:sz w:val="24"/>
        </w:rPr>
      </w:pPr>
    </w:p>
    <w:p>
      <w:pPr>
        <w:pStyle w:val="6"/>
        <w:rPr>
          <w:rFonts w:ascii="宋体" w:hAnsi="宋体" w:cs="宋体"/>
          <w:sz w:val="24"/>
        </w:rPr>
      </w:pPr>
    </w:p>
    <w:p/>
    <w:p>
      <w:pP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rPr>
          <w:rFonts w:ascii="宋体" w:hAnsi="宋体" w:cs="宋体"/>
          <w:szCs w:val="24"/>
        </w:rPr>
      </w:pPr>
    </w:p>
    <w:p>
      <w:pPr>
        <w:spacing w:before="120" w:line="22" w:lineRule="atLeast"/>
        <w:ind w:left="960"/>
        <w:rPr>
          <w:rFonts w:hint="default" w:ascii="宋体" w:hAnsi="宋体" w:cs="宋体"/>
          <w:sz w:val="24"/>
          <w:u w:val="single"/>
          <w:lang w:val="en-US"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2024年临江公司汽水取样备件（非标件）采购项目</w:t>
      </w:r>
      <w:r>
        <w:rPr>
          <w:rFonts w:hint="eastAsia" w:ascii="宋体" w:hAnsi="宋体" w:cs="宋体"/>
          <w:sz w:val="24"/>
          <w:u w:val="single"/>
          <w:lang w:val="en-US" w:eastAsia="zh-CN"/>
        </w:rPr>
        <w:t xml:space="preserve"> </w:t>
      </w:r>
    </w:p>
    <w:p>
      <w:pPr>
        <w:spacing w:before="120" w:line="22" w:lineRule="atLeast"/>
        <w:ind w:left="960"/>
        <w:rPr>
          <w:rFonts w:hint="eastAsia" w:ascii="宋体" w:hAnsi="宋体" w:cs="宋体"/>
          <w:sz w:val="24"/>
          <w:u w:val="single"/>
          <w:lang w:eastAsia="zh-CN"/>
        </w:rPr>
      </w:pPr>
    </w:p>
    <w:p>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杭州临江环境能源有限公司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u w:val="single"/>
          <w:lang w:val="en-US" w:eastAsia="zh-CN"/>
        </w:rPr>
        <w:t xml:space="preserve">2024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3"/>
        <w:ind w:left="0" w:leftChars="0" w:firstLine="0" w:firstLineChars="0"/>
        <w:rPr>
          <w:rFonts w:ascii="宋体" w:hAnsi="宋体" w:cs="宋体"/>
          <w:b/>
          <w:szCs w:val="24"/>
        </w:rPr>
      </w:pPr>
    </w:p>
    <w:p>
      <w:pPr>
        <w:pStyle w:val="2"/>
        <w:jc w:val="center"/>
        <w:rPr>
          <w:rFonts w:eastAsia="宋体"/>
          <w:b/>
          <w:bCs/>
        </w:rPr>
      </w:pPr>
      <w:r>
        <w:rPr>
          <w:rFonts w:hint="eastAsia"/>
          <w:b/>
          <w:bCs/>
        </w:rPr>
        <w:t>目录</w:t>
      </w:r>
    </w:p>
    <w:p>
      <w:pPr>
        <w:pStyle w:val="9"/>
        <w:spacing w:line="360" w:lineRule="auto"/>
        <w:ind w:firstLine="240" w:firstLineChars="100"/>
      </w:pPr>
      <w:r>
        <w:rPr>
          <w:rFonts w:hint="eastAsia"/>
        </w:rPr>
        <w:t>第一章 合同书  ……………………………………………………………（页码）</w:t>
      </w:r>
    </w:p>
    <w:p>
      <w:pPr>
        <w:pStyle w:val="9"/>
        <w:spacing w:line="360" w:lineRule="auto"/>
        <w:ind w:firstLine="240" w:firstLineChars="100"/>
        <w:rPr>
          <w:rFonts w:hint="eastAsia"/>
        </w:rPr>
      </w:pPr>
      <w:r>
        <w:rPr>
          <w:rFonts w:hint="eastAsia"/>
        </w:rPr>
        <w:t>第二章 合同一般条款………………………………………………………（页码）</w:t>
      </w:r>
    </w:p>
    <w:p>
      <w:pPr>
        <w:pStyle w:val="9"/>
        <w:spacing w:line="360" w:lineRule="auto"/>
        <w:ind w:firstLine="240" w:firstLineChars="100"/>
      </w:pPr>
      <w:r>
        <w:rPr>
          <w:rFonts w:hint="eastAsia"/>
        </w:rPr>
        <w:t>第</w:t>
      </w:r>
      <w:r>
        <w:rPr>
          <w:rFonts w:hint="eastAsia"/>
          <w:lang w:val="en-US" w:eastAsia="zh-CN"/>
        </w:rPr>
        <w:t>三</w:t>
      </w:r>
      <w:r>
        <w:rPr>
          <w:rFonts w:hint="eastAsia"/>
        </w:rPr>
        <w:t>章 廉洁协议……………………………………………………………（页码）</w:t>
      </w:r>
    </w:p>
    <w:p>
      <w:pPr>
        <w:pStyle w:val="9"/>
        <w:spacing w:line="360" w:lineRule="auto"/>
        <w:ind w:firstLine="240" w:firstLineChars="100"/>
        <w:rPr>
          <w:rFonts w:hint="eastAsia"/>
        </w:rPr>
      </w:pPr>
    </w:p>
    <w:p>
      <w:pPr>
        <w:pStyle w:val="23"/>
        <w:rPr>
          <w:rFonts w:ascii="宋体" w:hAnsi="宋体" w:cs="宋体"/>
          <w:szCs w:val="24"/>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23"/>
        <w:ind w:left="0" w:leftChars="0" w:firstLine="0" w:firstLineChars="0"/>
        <w:jc w:val="both"/>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w:t>
      </w:r>
      <w:r>
        <w:rPr>
          <w:rFonts w:hint="eastAsia" w:ascii="宋体" w:hAnsi="宋体" w:cs="宋体"/>
          <w:sz w:val="24"/>
          <w:u w:val="single"/>
          <w:lang w:val="en-US" w:eastAsia="zh-CN"/>
        </w:rPr>
        <w:t>汽水取样备件（非标件）</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pacing w:line="360" w:lineRule="auto"/>
        <w:ind w:firstLine="482" w:firstLineChars="200"/>
        <w:outlineLvl w:val="0"/>
        <w:rPr>
          <w:rFonts w:ascii="宋体" w:hAnsi="宋体" w:cs="宋体"/>
          <w:b/>
          <w:sz w:val="24"/>
        </w:rPr>
      </w:pPr>
      <w:bookmarkStart w:id="384" w:name="_Toc2232"/>
      <w:bookmarkStart w:id="385" w:name="_Toc24059"/>
      <w:bookmarkStart w:id="386" w:name="_Toc3029"/>
      <w:r>
        <w:rPr>
          <w:rFonts w:hint="eastAsia" w:ascii="宋体" w:hAnsi="宋体" w:cs="宋体"/>
          <w:b/>
          <w:sz w:val="24"/>
        </w:rPr>
        <w:t>一、合同组成部分</w:t>
      </w:r>
      <w:bookmarkEnd w:id="384"/>
      <w:bookmarkEnd w:id="385"/>
      <w:bookmarkEnd w:id="386"/>
    </w:p>
    <w:p>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pacing w:line="360" w:lineRule="auto"/>
        <w:ind w:firstLine="480" w:firstLineChars="200"/>
        <w:rPr>
          <w:rFonts w:ascii="宋体" w:hAnsi="宋体" w:cs="宋体"/>
          <w:sz w:val="24"/>
        </w:rPr>
      </w:pPr>
      <w:r>
        <w:rPr>
          <w:rFonts w:hint="eastAsia" w:ascii="宋体" w:hAnsi="宋体" w:cs="宋体"/>
          <w:sz w:val="24"/>
        </w:rPr>
        <w:t>2.中标或者成交通知书；</w:t>
      </w:r>
    </w:p>
    <w:p>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pacing w:line="360" w:lineRule="auto"/>
        <w:ind w:firstLine="480" w:firstLineChars="200"/>
        <w:rPr>
          <w:rFonts w:ascii="宋体" w:hAnsi="宋体" w:cs="宋体"/>
          <w:sz w:val="24"/>
        </w:rPr>
      </w:pPr>
      <w:r>
        <w:rPr>
          <w:rFonts w:hint="eastAsia" w:ascii="宋体" w:hAnsi="宋体" w:cs="宋体"/>
          <w:sz w:val="24"/>
        </w:rPr>
        <w:t>5. 其他相关采购文件。</w:t>
      </w:r>
    </w:p>
    <w:p>
      <w:pPr>
        <w:spacing w:line="360" w:lineRule="auto"/>
        <w:ind w:firstLine="482" w:firstLineChars="200"/>
        <w:outlineLvl w:val="0"/>
        <w:rPr>
          <w:rFonts w:ascii="宋体" w:hAnsi="宋体" w:cs="宋体"/>
          <w:sz w:val="24"/>
        </w:rPr>
      </w:pPr>
      <w:bookmarkStart w:id="387" w:name="_Toc24300"/>
      <w:bookmarkStart w:id="388" w:name="_Toc27126"/>
      <w:bookmarkStart w:id="389" w:name="_Toc21295"/>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bookmarkStart w:id="517" w:name="_GoBack"/>
      <w:bookmarkEnd w:id="517"/>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pacing w:line="360" w:lineRule="auto"/>
        <w:ind w:firstLine="480" w:firstLineChars="200"/>
        <w:rPr>
          <w:rFonts w:hint="eastAsia"/>
          <w:lang w:val="en-US" w:eastAsia="zh-CN"/>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5"/>
        <w:tblW w:w="906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938"/>
        <w:gridCol w:w="546"/>
        <w:gridCol w:w="3859"/>
        <w:gridCol w:w="695"/>
        <w:gridCol w:w="750"/>
        <w:gridCol w:w="873"/>
        <w:gridCol w:w="9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序号</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物资名称</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w:t>
            </w:r>
          </w:p>
        </w:tc>
        <w:tc>
          <w:tcPr>
            <w:tcW w:w="3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型号规格</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数量</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单价（元）</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总计（元）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一级冷却器芯</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P01A-01；热交换面积（㎡）0.32㎡；样品最高压力（MPa）38；样品最高温度（℃）550℃；样品最大流量（L/min）2500；样品接口管径Φ12×3；冷却水管管径Φ22×2.5；冷却器材质304SS；样水连接方式：螺纹连接；冷却水连接方式：焊接</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二级冷却器芯</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P01B-01；热交换面积（㎡）0.427㎡；样品最高压力（MPa）38；样品最高温度（℃）550℃；样品最大流量（L/min）2500；样品接口管径Φ10×1.5；冷却水管管径Φ22×2.5；冷却器材质304SS；样水连接方式：螺纹连接；冷却水连接方式：焊接</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水样过滤器滤芯</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HP03D-01；工作压力1.6mpa；样品水流量0-600L/min；滤网目数200;</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1000</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合计</w:t>
            </w:r>
          </w:p>
        </w:tc>
        <w:tc>
          <w:tcPr>
            <w:tcW w:w="32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bl>
    <w:p>
      <w:pPr>
        <w:spacing w:line="360" w:lineRule="auto"/>
        <w:ind w:firstLine="480" w:firstLineChars="200"/>
        <w:rPr>
          <w:rFonts w:hint="default" w:ascii="宋体" w:hAnsi="宋体" w:cs="宋体" w:eastAsiaTheme="minorEastAsia"/>
          <w:sz w:val="24"/>
          <w:lang w:val="en-US" w:eastAsia="zh-CN"/>
        </w:rPr>
      </w:pPr>
      <w:r>
        <w:rPr>
          <w:rFonts w:hint="eastAsia" w:ascii="宋体" w:hAnsi="宋体" w:cs="宋体"/>
          <w:sz w:val="24"/>
        </w:rPr>
        <w:t>4.货物数量</w:t>
      </w:r>
      <w:r>
        <w:rPr>
          <w:rFonts w:hint="eastAsia" w:ascii="宋体" w:hAnsi="宋体" w:cs="宋体"/>
          <w:sz w:val="24"/>
          <w:u w:val="single"/>
        </w:rPr>
        <w:t>：</w:t>
      </w:r>
      <w:r>
        <w:rPr>
          <w:rFonts w:hint="eastAsia" w:ascii="宋体" w:hAnsi="宋体" w:cs="宋体"/>
          <w:sz w:val="24"/>
          <w:u w:val="single"/>
          <w:lang w:val="en-US" w:eastAsia="zh-CN"/>
        </w:rPr>
        <w:t>按合同清单数量供货。</w:t>
      </w:r>
    </w:p>
    <w:p>
      <w:pPr>
        <w:pStyle w:val="24"/>
        <w:spacing w:before="0" w:beforeAutospacing="0" w:after="0" w:afterAutospacing="0" w:line="360" w:lineRule="auto"/>
        <w:ind w:firstLine="480"/>
        <w:rPr>
          <w:b/>
        </w:rPr>
      </w:pPr>
      <w:bookmarkStart w:id="390" w:name="_Toc22618"/>
      <w:bookmarkStart w:id="391" w:name="_Toc1814"/>
      <w:bookmarkStart w:id="392" w:name="_Toc10340"/>
      <w:r>
        <w:rPr>
          <w:rFonts w:hint="eastAsia"/>
          <w:b/>
        </w:rPr>
        <w:t>三、合同期限、货物交付期限、地点和联系方式、交付方式</w:t>
      </w:r>
    </w:p>
    <w:p>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1.合同期限：</w:t>
      </w:r>
      <w:r>
        <w:rPr>
          <w:rFonts w:hint="eastAsia" w:ascii="宋体" w:hAnsi="宋体" w:cs="宋体"/>
          <w:sz w:val="24"/>
          <w:highlight w:val="none"/>
          <w:u w:val="single"/>
          <w:lang w:val="en-US" w:eastAsia="zh-CN"/>
        </w:rPr>
        <w:t>自合同签订生效后30天内一次性完成供货；</w:t>
      </w:r>
    </w:p>
    <w:p>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highlight w:val="none"/>
          <w:u w:val="single"/>
          <w:lang w:val="en-US" w:eastAsia="zh-CN"/>
        </w:rPr>
        <w:t>自合同签订生效后30天内一次性完成供货</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pacing w:line="360" w:lineRule="auto"/>
        <w:ind w:firstLine="480" w:firstLineChars="200"/>
        <w:rPr>
          <w:b/>
        </w:rPr>
      </w:pPr>
      <w:r>
        <w:rPr>
          <w:rFonts w:hint="eastAsia" w:ascii="宋体" w:hAnsi="宋体" w:cs="宋体"/>
          <w:sz w:val="24"/>
        </w:rPr>
        <w:t>（3）特殊情况下，双方友好协商解决。</w:t>
      </w:r>
    </w:p>
    <w:p>
      <w:pPr>
        <w:pStyle w:val="24"/>
        <w:spacing w:before="0" w:beforeAutospacing="0" w:after="0" w:afterAutospacing="0" w:line="360" w:lineRule="auto"/>
        <w:ind w:firstLine="480"/>
        <w:rPr>
          <w:b/>
        </w:rPr>
      </w:pPr>
      <w:r>
        <w:rPr>
          <w:rFonts w:hint="eastAsia"/>
          <w:b/>
        </w:rPr>
        <w:t>四、技术和质量要求</w:t>
      </w:r>
    </w:p>
    <w:p>
      <w:pPr>
        <w:pStyle w:val="3"/>
        <w:ind w:firstLine="480" w:firstLineChars="200"/>
        <w:rPr>
          <w:rFonts w:hint="eastAsia" w:ascii="宋体"/>
          <w:color w:val="auto"/>
          <w:highlight w:val="none"/>
          <w:lang w:val="en-US" w:eastAsia="zh-CN"/>
        </w:rPr>
      </w:pPr>
      <w:bookmarkStart w:id="393" w:name="_Toc14563"/>
      <w:bookmarkStart w:id="394" w:name="_Toc1125"/>
      <w:bookmarkStart w:id="395" w:name="_Toc6596"/>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3"/>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2.乙方所供</w:t>
      </w:r>
      <w:r>
        <w:rPr>
          <w:rFonts w:hint="eastAsia"/>
          <w:color w:val="auto"/>
          <w:highlight w:val="none"/>
          <w:lang w:val="en-US" w:eastAsia="zh-CN"/>
        </w:rPr>
        <w:t>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p>
    <w:p>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pPr>
        <w:pStyle w:val="3"/>
        <w:ind w:firstLine="480" w:firstLineChars="200"/>
        <w:rPr>
          <w:lang w:val="en-US"/>
        </w:rPr>
      </w:pPr>
      <w:r>
        <w:rPr>
          <w:rFonts w:hint="eastAsia"/>
          <w:lang w:val="en-US"/>
        </w:rPr>
        <w:t>1.根据</w:t>
      </w:r>
      <w:r>
        <w:rPr>
          <w:rFonts w:hint="eastAsia"/>
          <w:lang w:val="en-US" w:eastAsia="zh-CN"/>
        </w:rPr>
        <w:t>甲方</w:t>
      </w:r>
      <w:r>
        <w:rPr>
          <w:rFonts w:hint="eastAsia"/>
          <w:lang w:val="en-US"/>
        </w:rPr>
        <w:t>生产计划，确定</w:t>
      </w:r>
      <w:r>
        <w:rPr>
          <w:rFonts w:hint="eastAsia"/>
          <w:lang w:val="en-US" w:eastAsia="zh-CN"/>
        </w:rPr>
        <w:t>供货及安装要求</w:t>
      </w:r>
      <w:r>
        <w:rPr>
          <w:rFonts w:hint="eastAsia"/>
          <w:lang w:val="en-US"/>
        </w:rPr>
        <w:t>，</w:t>
      </w:r>
      <w:r>
        <w:rPr>
          <w:rFonts w:hint="eastAsia"/>
          <w:lang w:val="en-US" w:eastAsia="zh-CN"/>
        </w:rPr>
        <w:t>乙方</w:t>
      </w:r>
      <w:r>
        <w:rPr>
          <w:rFonts w:hint="eastAsia"/>
          <w:lang w:val="en-US"/>
        </w:rPr>
        <w:t>负责在接到</w:t>
      </w:r>
      <w:r>
        <w:rPr>
          <w:rFonts w:hint="eastAsia"/>
          <w:lang w:val="en-US" w:eastAsia="zh-CN"/>
        </w:rPr>
        <w:t>甲方</w:t>
      </w:r>
      <w:r>
        <w:rPr>
          <w:rFonts w:hint="eastAsia"/>
          <w:lang w:val="en-US"/>
        </w:rPr>
        <w:t>电话或书面通知后在</w:t>
      </w:r>
      <w:r>
        <w:rPr>
          <w:rFonts w:hint="eastAsia"/>
          <w:highlight w:val="none"/>
          <w:lang w:val="en-US" w:eastAsia="zh-CN"/>
        </w:rPr>
        <w:t>30天内</w:t>
      </w:r>
      <w:r>
        <w:rPr>
          <w:rFonts w:hint="eastAsia"/>
          <w:lang w:val="en-US" w:eastAsia="zh-CN"/>
        </w:rPr>
        <w:t>依次完成</w:t>
      </w:r>
      <w:r>
        <w:rPr>
          <w:rFonts w:hint="eastAsia"/>
          <w:lang w:val="en-US"/>
        </w:rPr>
        <w:t>供货</w:t>
      </w:r>
      <w:r>
        <w:rPr>
          <w:rFonts w:hint="eastAsia"/>
          <w:lang w:val="en-US" w:eastAsia="zh-CN"/>
        </w:rPr>
        <w:t>、安装</w:t>
      </w:r>
      <w:r>
        <w:rPr>
          <w:rFonts w:hint="eastAsia"/>
          <w:lang w:val="en-US"/>
        </w:rPr>
        <w:t>。</w:t>
      </w:r>
    </w:p>
    <w:p>
      <w:pPr>
        <w:pStyle w:val="3"/>
        <w:ind w:firstLine="480" w:firstLineChars="200"/>
        <w:rPr>
          <w:lang w:val="en-US"/>
        </w:rPr>
      </w:pPr>
      <w:r>
        <w:rPr>
          <w:rFonts w:hint="eastAsia"/>
          <w:lang w:val="en-US" w:eastAsia="zh-CN"/>
        </w:rPr>
        <w:t>2</w:t>
      </w:r>
      <w:r>
        <w:rPr>
          <w:rFonts w:hint="eastAsia"/>
          <w:lang w:val="en-US"/>
        </w:rPr>
        <w:t>.乙方必须满足甲方售后服务要求。如使用过程发生问题，乙方须在接到甲方通知后必须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3"/>
        <w:ind w:firstLine="480" w:firstLineChars="200"/>
        <w:rPr>
          <w:lang w:val="en-US"/>
        </w:rPr>
      </w:pPr>
      <w:r>
        <w:rPr>
          <w:rFonts w:hint="eastAsia"/>
          <w:lang w:val="en-US" w:eastAsia="zh-CN"/>
        </w:rPr>
        <w:t>3</w:t>
      </w:r>
      <w:r>
        <w:rPr>
          <w:rFonts w:hint="eastAsia"/>
          <w:lang w:val="en-US"/>
        </w:rPr>
        <w:t>.甲方不再对任何售后服务进行付费。乙方的派遣人员产生的一切费用由供应商承担。</w:t>
      </w:r>
    </w:p>
    <w:p>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3"/>
        <w:ind w:firstLine="482" w:firstLineChars="200"/>
        <w:rPr>
          <w:rFonts w:hint="eastAsia" w:hAnsi="宋体"/>
          <w:b/>
          <w:lang w:val="en-US"/>
        </w:rPr>
      </w:pPr>
      <w:r>
        <w:rPr>
          <w:rFonts w:hint="eastAsia" w:hAnsi="宋体" w:eastAsia="宋体"/>
          <w:b/>
          <w:lang w:val="en-US"/>
        </w:rPr>
        <w:t>七、</w:t>
      </w:r>
      <w:r>
        <w:rPr>
          <w:rFonts w:hint="eastAsia" w:hAnsi="宋体"/>
          <w:b/>
          <w:lang w:val="en-US"/>
        </w:rPr>
        <w:t>验收特别约定条款</w:t>
      </w:r>
    </w:p>
    <w:p>
      <w:pPr>
        <w:pStyle w:val="2"/>
        <w:rPr>
          <w:rFonts w:hint="default" w:eastAsiaTheme="minorEastAsia"/>
          <w:u w:val="single"/>
          <w:lang w:val="en-US" w:eastAsia="zh-CN"/>
        </w:rPr>
      </w:pPr>
      <w:r>
        <w:rPr>
          <w:rFonts w:hint="eastAsia"/>
          <w:u w:val="single"/>
          <w:lang w:val="en-US" w:eastAsia="zh-CN"/>
        </w:rPr>
        <w:t xml:space="preserve"> \ 。</w:t>
      </w:r>
    </w:p>
    <w:p>
      <w:pPr>
        <w:pStyle w:val="3"/>
        <w:ind w:firstLine="482" w:firstLineChars="200"/>
        <w:rPr>
          <w:rFonts w:eastAsia="宋体"/>
          <w:b/>
        </w:rPr>
      </w:pPr>
      <w:r>
        <w:rPr>
          <w:rFonts w:hint="eastAsia" w:hAnsi="宋体"/>
          <w:b/>
          <w:lang w:val="en-US"/>
        </w:rPr>
        <w:t>八、</w:t>
      </w:r>
      <w:r>
        <w:rPr>
          <w:rFonts w:hint="eastAsia"/>
          <w:b/>
        </w:rPr>
        <w:t>履约保证金</w:t>
      </w:r>
    </w:p>
    <w:p>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pacing w:before="0" w:beforeAutospacing="0" w:after="0" w:afterAutospacing="0" w:line="360" w:lineRule="auto"/>
        <w:ind w:firstLine="480"/>
        <w:rPr>
          <w:b/>
          <w:bCs/>
        </w:rPr>
      </w:pPr>
      <w:r>
        <w:rPr>
          <w:rFonts w:hint="eastAsia"/>
          <w:b/>
          <w:bCs/>
        </w:rPr>
        <w:t>十、资金支付</w:t>
      </w:r>
    </w:p>
    <w:p>
      <w:pPr>
        <w:pStyle w:val="24"/>
        <w:spacing w:before="0" w:beforeAutospacing="0" w:after="0" w:afterAutospacing="0" w:line="360" w:lineRule="auto"/>
        <w:ind w:firstLine="480"/>
      </w:pPr>
      <w:bookmarkStart w:id="396" w:name="_Toc19304"/>
      <w:bookmarkStart w:id="397" w:name="_Toc32071"/>
      <w:bookmarkStart w:id="398" w:name="_Toc2846"/>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w:t>
      </w:r>
      <w:r>
        <w:rPr>
          <w:rFonts w:hint="eastAsia" w:ascii="宋体" w:hAnsi="宋体" w:cs="宋体"/>
          <w:kern w:val="0"/>
          <w:sz w:val="24"/>
          <w:u w:val="single"/>
        </w:rPr>
        <w:t xml:space="preserve">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cs="宋体"/>
          <w:kern w:val="0"/>
          <w:sz w:val="24"/>
          <w:szCs w:val="24"/>
          <w:u w:val="single"/>
          <w:lang w:val="en-US" w:eastAsia="zh-CN" w:bidi="ar-SA"/>
        </w:rPr>
        <w:t>/</w:t>
      </w:r>
      <w:r>
        <w:rPr>
          <w:rFonts w:hint="eastAsia" w:ascii="宋体" w:hAnsi="宋体" w:cs="宋体" w:eastAsiaTheme="minorEastAsia"/>
          <w:kern w:val="0"/>
          <w:sz w:val="24"/>
          <w:szCs w:val="24"/>
          <w:u w:val="single"/>
          <w:lang w:val="en-US" w:eastAsia="zh-CN" w:bidi="ar-SA"/>
        </w:rPr>
        <w:t>%</w:t>
      </w:r>
      <w:r>
        <w:rPr>
          <w:rFonts w:hint="eastAsia"/>
        </w:rPr>
        <w:t>；</w:t>
      </w:r>
    </w:p>
    <w:p>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w:t>
      </w:r>
      <w:r>
        <w:rPr>
          <w:rFonts w:hint="eastAsia"/>
          <w:u w:val="single"/>
          <w:lang w:val="en-US" w:eastAsia="zh-CN"/>
        </w:rPr>
        <w:t>3</w:t>
      </w:r>
      <w:r>
        <w:rPr>
          <w:rFonts w:hint="eastAsia"/>
          <w:u w:val="single"/>
          <w:lang w:eastAsia="zh-CN"/>
        </w:rPr>
        <w:t>）</w:t>
      </w:r>
      <w:r>
        <w:rPr>
          <w:rFonts w:hint="eastAsia"/>
        </w:rPr>
        <w:t>条款规定：</w:t>
      </w:r>
    </w:p>
    <w:bookmarkEnd w:id="396"/>
    <w:bookmarkEnd w:id="397"/>
    <w:bookmarkEnd w:id="398"/>
    <w:p>
      <w:pPr>
        <w:pStyle w:val="24"/>
        <w:spacing w:before="0" w:beforeAutospacing="0" w:after="0" w:afterAutospacing="0" w:line="360" w:lineRule="auto"/>
        <w:ind w:firstLine="480"/>
        <w:rPr>
          <w:u w:val="single"/>
        </w:rPr>
      </w:pPr>
      <w:bookmarkStart w:id="399" w:name="_Toc19554"/>
      <w:bookmarkStart w:id="400" w:name="_Toc27250"/>
      <w:bookmarkStart w:id="401" w:name="_Toc21423"/>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pacing w:before="0" w:beforeAutospacing="0" w:after="0" w:afterAutospacing="0" w:line="360" w:lineRule="auto"/>
        <w:ind w:firstLine="480"/>
        <w:rPr>
          <w:rFonts w:hint="eastAsia"/>
          <w:u w:val="single"/>
        </w:rPr>
      </w:pPr>
      <w:r>
        <w:rPr>
          <w:rFonts w:hint="eastAsia"/>
          <w:u w:val="single"/>
        </w:rPr>
        <w:t xml:space="preserve">（3）一次性付款，经甲方验收合格后，甲方收到乙方提供的增值税专用发票后，甲方在本合同约定时间内完成支付全部货款。  </w:t>
      </w:r>
    </w:p>
    <w:p>
      <w:pPr>
        <w:pStyle w:val="24"/>
        <w:spacing w:before="0" w:beforeAutospacing="0" w:after="0" w:afterAutospacing="0" w:line="360" w:lineRule="auto"/>
        <w:ind w:firstLine="480"/>
        <w:rPr>
          <w:rFonts w:hint="eastAsia"/>
        </w:rPr>
      </w:pPr>
      <w:r>
        <w:rPr>
          <w:rFonts w:hint="eastAsia"/>
          <w:u w:val="single"/>
        </w:rPr>
        <w:t>（4）其他付款方式：经甲方验收合格后，甲方收到乙方提供的增值税专用发票后，甲方在本合同约定时间内完成支付</w:t>
      </w:r>
      <w:r>
        <w:rPr>
          <w:rFonts w:hint="eastAsia"/>
          <w:u w:val="single"/>
          <w:lang w:val="en-US" w:eastAsia="zh-CN"/>
        </w:rPr>
        <w:t>95%</w:t>
      </w:r>
      <w:r>
        <w:rPr>
          <w:rFonts w:hint="eastAsia"/>
          <w:u w:val="single"/>
        </w:rPr>
        <w:t xml:space="preserve">货款 </w:t>
      </w:r>
      <w:r>
        <w:rPr>
          <w:rFonts w:hint="eastAsia"/>
          <w:u w:val="single"/>
          <w:lang w:eastAsia="zh-CN"/>
        </w:rPr>
        <w:t>，</w:t>
      </w:r>
      <w:r>
        <w:rPr>
          <w:rFonts w:hint="eastAsia"/>
          <w:u w:val="single"/>
        </w:rPr>
        <w:t>质保期内无任何质量问题，双方无任何遗留问题 ，质保期结束后30天内甲方无息支付</w:t>
      </w:r>
      <w:r>
        <w:rPr>
          <w:rFonts w:hint="eastAsia"/>
          <w:u w:val="single"/>
          <w:lang w:val="en-US" w:eastAsia="zh-CN"/>
        </w:rPr>
        <w:t>5%货款。</w:t>
      </w:r>
      <w:r>
        <w:rPr>
          <w:rFonts w:hint="eastAsia"/>
          <w:u w:val="single"/>
        </w:rPr>
        <w:t xml:space="preserve"> </w:t>
      </w:r>
    </w:p>
    <w:p>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sz w:val="24"/>
          <w:highlight w:val="none"/>
        </w:rPr>
      </w:pPr>
      <w:bookmarkStart w:id="402" w:name="_Toc15583"/>
      <w:bookmarkStart w:id="403" w:name="_Toc28375"/>
      <w:bookmarkStart w:id="404" w:name="_Toc16021"/>
      <w:r>
        <w:rPr>
          <w:rFonts w:hint="eastAsia" w:ascii="宋体" w:hAnsi="宋体" w:cs="宋体"/>
          <w:sz w:val="24"/>
          <w:highlight w:val="none"/>
        </w:rPr>
        <w:t>1.对于验收不合格的货物，双方按照以下方式处理：</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w:t>
      </w:r>
      <w:r>
        <w:rPr>
          <w:rFonts w:hint="eastAsia" w:ascii="宋体" w:hAnsi="宋体" w:cs="宋体"/>
          <w:sz w:val="24"/>
          <w:highlight w:val="none"/>
          <w:lang w:val="en-US" w:eastAsia="zh-CN"/>
        </w:rPr>
        <w:t>1</w:t>
      </w:r>
      <w:r>
        <w:rPr>
          <w:rFonts w:hint="eastAsia" w:ascii="宋体" w:hAnsi="宋体" w:cs="宋体"/>
          <w:sz w:val="24"/>
          <w:highlight w:val="none"/>
          <w:lang w:eastAsia="zh-CN"/>
        </w:rPr>
        <w:t>）</w:t>
      </w:r>
      <w:r>
        <w:rPr>
          <w:rFonts w:hint="eastAsia" w:ascii="宋体" w:hAnsi="宋体" w:cs="宋体"/>
          <w:sz w:val="24"/>
          <w:highlight w:val="none"/>
        </w:rPr>
        <w:t>甲方尚未使用的，乙方应当</w:t>
      </w:r>
      <w:r>
        <w:rPr>
          <w:rFonts w:hint="eastAsia" w:ascii="宋体" w:hAnsi="宋体" w:cs="宋体"/>
          <w:sz w:val="24"/>
          <w:highlight w:val="none"/>
          <w:u w:val="single"/>
          <w:lang w:val="en-US" w:eastAsia="zh-CN"/>
        </w:rPr>
        <w:t>在5个工作日</w:t>
      </w:r>
      <w:r>
        <w:rPr>
          <w:rFonts w:hint="eastAsia" w:ascii="宋体" w:hAnsi="宋体" w:cs="宋体"/>
          <w:sz w:val="24"/>
          <w:highlight w:val="none"/>
        </w:rPr>
        <w:t>自费运回，</w:t>
      </w:r>
      <w:r>
        <w:rPr>
          <w:rFonts w:hint="eastAsia" w:ascii="宋体" w:hAnsi="宋体" w:cs="宋体"/>
          <w:sz w:val="24"/>
          <w:highlight w:val="none"/>
          <w:lang w:val="en-US" w:eastAsia="zh-CN"/>
        </w:rPr>
        <w:t>否则</w:t>
      </w:r>
      <w:r>
        <w:rPr>
          <w:rFonts w:hint="eastAsia" w:ascii="宋体" w:hAnsi="宋体" w:cs="宋体"/>
          <w:sz w:val="24"/>
          <w:highlight w:val="none"/>
        </w:rPr>
        <w:t>视为遗弃</w:t>
      </w:r>
      <w:r>
        <w:rPr>
          <w:rFonts w:hint="eastAsia" w:ascii="宋体" w:hAnsi="宋体" w:cs="宋体"/>
          <w:sz w:val="24"/>
          <w:highlight w:val="none"/>
          <w:lang w:eastAsia="zh-CN"/>
        </w:rPr>
        <w:t>；</w:t>
      </w:r>
      <w:r>
        <w:rPr>
          <w:rFonts w:hint="eastAsia" w:ascii="宋体" w:hAnsi="宋体" w:cs="宋体"/>
          <w:sz w:val="24"/>
          <w:highlight w:val="none"/>
          <w:lang w:val="en-US" w:eastAsia="zh-CN"/>
        </w:rPr>
        <w:t>若乙方超过5个工作日未取回，甲方有权在履约保证金或者</w:t>
      </w:r>
      <w:r>
        <w:rPr>
          <w:rFonts w:hint="eastAsia" w:ascii="宋体" w:hAnsi="宋体" w:cs="宋体"/>
          <w:sz w:val="24"/>
          <w:highlight w:val="none"/>
        </w:rPr>
        <w:t>应付乙方款项中</w:t>
      </w:r>
      <w:r>
        <w:rPr>
          <w:rFonts w:hint="eastAsia" w:ascii="宋体" w:hAnsi="宋体" w:cs="宋体"/>
          <w:sz w:val="24"/>
          <w:highlight w:val="none"/>
          <w:lang w:val="en-US" w:eastAsia="zh-CN"/>
        </w:rPr>
        <w:t>按200元/天收取仓储费</w:t>
      </w:r>
      <w:r>
        <w:rPr>
          <w:rFonts w:hint="eastAsia" w:ascii="宋体" w:hAnsi="宋体" w:cs="宋体"/>
          <w:sz w:val="24"/>
          <w:highlight w:val="none"/>
        </w:rPr>
        <w:t>。另</w:t>
      </w:r>
      <w:r>
        <w:rPr>
          <w:rFonts w:hint="eastAsia" w:ascii="宋体" w:hAnsi="宋体" w:cs="宋体"/>
          <w:sz w:val="24"/>
          <w:highlight w:val="none"/>
          <w:lang w:val="en-US" w:eastAsia="zh-CN"/>
        </w:rPr>
        <w:t>乙方</w:t>
      </w:r>
      <w:r>
        <w:rPr>
          <w:rFonts w:hint="eastAsia" w:ascii="宋体" w:hAnsi="宋体" w:cs="宋体"/>
          <w:sz w:val="24"/>
          <w:highlight w:val="none"/>
        </w:rPr>
        <w:t>应无条件</w:t>
      </w:r>
      <w:r>
        <w:rPr>
          <w:rFonts w:hint="eastAsia" w:ascii="宋体" w:hAnsi="宋体" w:cs="宋体"/>
          <w:sz w:val="24"/>
          <w:highlight w:val="none"/>
          <w:lang w:val="en-US" w:eastAsia="zh-CN"/>
        </w:rPr>
        <w:t>在</w:t>
      </w:r>
      <w:r>
        <w:rPr>
          <w:rFonts w:hint="eastAsia" w:ascii="宋体" w:hAnsi="宋体" w:cs="宋体"/>
          <w:b/>
          <w:bCs/>
          <w:sz w:val="24"/>
          <w:highlight w:val="none"/>
          <w:u w:val="single"/>
          <w:lang w:val="en-US" w:eastAsia="zh-CN"/>
        </w:rPr>
        <w:t>5个工作日</w:t>
      </w:r>
      <w:r>
        <w:rPr>
          <w:rFonts w:hint="eastAsia" w:ascii="宋体" w:hAnsi="宋体" w:cs="宋体"/>
          <w:sz w:val="24"/>
          <w:highlight w:val="none"/>
        </w:rPr>
        <w:t>内更换合格的货物至甲方，由此产生的运输费、装卸费等一切费用由乙方承担。如乙方拒绝或逾期更换的，视同逾期交货，应承担逾期交货责任。</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w:t>
      </w:r>
      <w:r>
        <w:rPr>
          <w:rFonts w:hint="eastAsia" w:ascii="宋体" w:hAnsi="宋体" w:cs="宋体"/>
          <w:sz w:val="24"/>
          <w:highlight w:val="none"/>
          <w:lang w:val="en-US" w:eastAsia="zh-CN"/>
        </w:rPr>
        <w:t>2</w:t>
      </w:r>
      <w:r>
        <w:rPr>
          <w:rFonts w:hint="eastAsia" w:ascii="宋体" w:hAnsi="宋体" w:cs="宋体"/>
          <w:sz w:val="24"/>
          <w:highlight w:val="none"/>
          <w:lang w:eastAsia="zh-CN"/>
        </w:rPr>
        <w:t>）</w:t>
      </w:r>
      <w:r>
        <w:rPr>
          <w:rFonts w:hint="eastAsia" w:ascii="宋体" w:hAnsi="宋体" w:cs="宋体"/>
          <w:sz w:val="24"/>
          <w:highlight w:val="none"/>
        </w:rPr>
        <w:t>甲方已经使用的，</w:t>
      </w:r>
      <w:r>
        <w:rPr>
          <w:rFonts w:hint="eastAsia" w:ascii="宋体" w:hAnsi="宋体" w:cs="宋体"/>
          <w:sz w:val="24"/>
          <w:highlight w:val="none"/>
          <w:lang w:val="en-US" w:eastAsia="zh-CN"/>
        </w:rPr>
        <w:t>若第三方</w:t>
      </w:r>
      <w:r>
        <w:rPr>
          <w:rFonts w:hint="eastAsia" w:ascii="宋体" w:hAnsi="宋体" w:cs="宋体"/>
          <w:sz w:val="24"/>
          <w:highlight w:val="none"/>
        </w:rPr>
        <w:t>检测出交付产品中含有</w:t>
      </w:r>
      <w:r>
        <w:rPr>
          <w:rFonts w:hint="eastAsia" w:ascii="宋体" w:hAnsi="宋体" w:cs="宋体"/>
          <w:sz w:val="24"/>
          <w:highlight w:val="none"/>
          <w:lang w:val="en-US" w:eastAsia="zh-CN"/>
        </w:rPr>
        <w:t>不符合本合同规定的基础参数</w:t>
      </w:r>
      <w:r>
        <w:rPr>
          <w:rFonts w:hint="eastAsia" w:ascii="宋体" w:hAnsi="宋体" w:cs="宋体"/>
          <w:sz w:val="24"/>
          <w:highlight w:val="none"/>
        </w:rPr>
        <w:t>（以具备相应资质的第三方认定为准），第三方检测费用由乙方承担，并向乙方追究由此对甲方生产运行造成的影响或损失。不合格货物如造成甲方损失的，乙方应当足额赔偿。如该批次货款已支付的，甲方有权在履约保证金、应付乙方款项中扣除或另行向乙方追缴。</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金。经双方同意延期的情形不在此列。</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.除不可抗力外，如果甲方没有按照本合同约定的付款方式付款，那么乙方可要求甲方支付违约金，违约金按每迟延付款一日的应付而未付款的</w:t>
      </w:r>
      <w:r>
        <w:rPr>
          <w:rFonts w:hint="eastAsia" w:ascii="宋体" w:hAnsi="宋体" w:cs="宋体"/>
          <w:b/>
          <w:bCs/>
          <w:sz w:val="24"/>
          <w:highlight w:val="none"/>
          <w:u w:val="single"/>
        </w:rPr>
        <w:t xml:space="preserve"> 0.05</w:t>
      </w:r>
      <w:r>
        <w:rPr>
          <w:rFonts w:hint="eastAsia" w:ascii="宋体" w:hAnsi="宋体" w:cs="宋体"/>
          <w:sz w:val="24"/>
          <w:highlight w:val="none"/>
          <w:u w:val="single"/>
        </w:rPr>
        <w:t xml:space="preserve">  </w:t>
      </w:r>
      <w:r>
        <w:rPr>
          <w:rFonts w:hint="eastAsia" w:ascii="宋体" w:hAnsi="宋体" w:cs="宋体"/>
          <w:sz w:val="24"/>
          <w:highlight w:val="none"/>
        </w:rPr>
        <w:t xml:space="preserve">%计算，迟延付款 </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30 </w:t>
      </w:r>
      <w:r>
        <w:rPr>
          <w:rFonts w:hint="eastAsia" w:ascii="宋体" w:hAnsi="宋体" w:cs="宋体"/>
          <w:sz w:val="24"/>
          <w:highlight w:val="none"/>
        </w:rPr>
        <w:t>天的，乙方有权在要求甲方支付违约金的同时，书面通知甲方解除本合同；</w:t>
      </w:r>
    </w:p>
    <w:p>
      <w:pPr>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4</w:t>
      </w:r>
      <w:r>
        <w:rPr>
          <w:rFonts w:hint="eastAsia" w:ascii="宋体" w:hAnsi="宋体" w:cs="宋体"/>
          <w:sz w:val="24"/>
          <w:highlight w:val="none"/>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5</w:t>
      </w:r>
      <w:r>
        <w:rPr>
          <w:rFonts w:hint="eastAsia" w:ascii="宋体" w:hAnsi="宋体" w:cs="宋体"/>
          <w:sz w:val="24"/>
          <w:highlight w:val="none"/>
        </w:rPr>
        <w:t>.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6</w:t>
      </w:r>
      <w:r>
        <w:rPr>
          <w:rFonts w:hint="eastAsia" w:ascii="宋体" w:hAnsi="宋体" w:cs="宋体"/>
          <w:sz w:val="24"/>
          <w:highlight w:val="none"/>
        </w:rPr>
        <w:t>.如果出现政府采购监督管理部门或者纪检部门在处理投诉事项期间，书面通知甲方暂停采购活动的情形，或者询问或质疑事项可能影响中标或者成交结果的，导致甲方中止履行合同的情形，均不视为甲方违约。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lang w:val="en-US" w:eastAsia="zh-CN"/>
        </w:rPr>
        <w:t>7</w:t>
      </w:r>
      <w:r>
        <w:rPr>
          <w:rFonts w:hint="eastAsia" w:ascii="宋体" w:hAnsi="宋体" w:cs="宋体"/>
          <w:sz w:val="24"/>
          <w:highlight w:val="none"/>
        </w:rPr>
        <w:t>.违约责任另有约定具体如下：</w:t>
      </w:r>
    </w:p>
    <w:p>
      <w:pPr>
        <w:spacing w:line="360" w:lineRule="auto"/>
        <w:ind w:right="-420" w:rightChars="-200" w:firstLine="480" w:firstLineChars="200"/>
        <w:rPr>
          <w:rFonts w:ascii="宋体" w:hAnsi="宋体" w:cs="宋体"/>
          <w:sz w:val="24"/>
          <w:highlight w:val="none"/>
          <w:u w:val="single"/>
        </w:rPr>
      </w:pPr>
      <w:r>
        <w:rPr>
          <w:rFonts w:hint="eastAsia" w:ascii="宋体" w:hAnsi="宋体" w:cs="宋体"/>
          <w:sz w:val="24"/>
          <w:highlight w:val="none"/>
          <w:u w:val="single"/>
        </w:rPr>
        <w:t>（1）乙方交付的货物不符合合同约定或验收不合格的，应当及时更换，因此延误交货期限的，按照逾期交货承担违约责任 ；</w:t>
      </w:r>
    </w:p>
    <w:p>
      <w:pPr>
        <w:spacing w:line="360" w:lineRule="auto"/>
        <w:ind w:firstLine="480" w:firstLineChars="200"/>
        <w:rPr>
          <w:rFonts w:ascii="宋体" w:hAnsi="宋体" w:cs="宋体"/>
          <w:sz w:val="24"/>
          <w:highlight w:val="none"/>
          <w:u w:val="single"/>
        </w:rPr>
      </w:pPr>
      <w:r>
        <w:rPr>
          <w:rFonts w:hint="eastAsia" w:ascii="宋体" w:hAnsi="宋体" w:cs="宋体"/>
          <w:sz w:val="24"/>
          <w:highlight w:val="none"/>
          <w:u w:val="single"/>
        </w:rPr>
        <w:t>（2）乙方不履行售后服务义务的，每次应向甲方承担1000元的违约金，且仍应履行售后服务义务；违约</w:t>
      </w:r>
      <w:r>
        <w:rPr>
          <w:rFonts w:hint="eastAsia" w:ascii="宋体" w:hAnsi="宋体" w:cs="宋体"/>
          <w:sz w:val="24"/>
          <w:highlight w:val="none"/>
          <w:u w:val="single"/>
          <w:lang w:val="en-US" w:eastAsia="zh-CN"/>
        </w:rPr>
        <w:t>金甲方有权优先从履约保证金扣除，不足部分从已供货未结算的货款中扣除；若无履约保证金的，甲方有权直接从已供货未结算的货款中扣除；</w:t>
      </w:r>
    </w:p>
    <w:p>
      <w:pPr>
        <w:spacing w:line="360" w:lineRule="auto"/>
        <w:ind w:right="-420" w:rightChars="-200" w:firstLine="480" w:firstLineChars="200"/>
        <w:rPr>
          <w:rFonts w:hint="eastAsia" w:ascii="宋体" w:hAnsi="宋体" w:cs="宋体" w:eastAsiaTheme="minorEastAsia"/>
          <w:sz w:val="24"/>
          <w:highlight w:val="none"/>
          <w:u w:val="single"/>
          <w:lang w:eastAsia="zh-CN"/>
        </w:rPr>
      </w:pPr>
      <w:r>
        <w:rPr>
          <w:rFonts w:hint="eastAsia" w:ascii="宋体" w:hAnsi="宋体" w:cs="宋体"/>
          <w:sz w:val="24"/>
          <w:highlight w:val="none"/>
          <w:u w:val="single"/>
        </w:rPr>
        <w:t>（3）甲方无故拒收货物，乙方有权要求甲方按照合同原价支付货款</w:t>
      </w:r>
      <w:r>
        <w:rPr>
          <w:rFonts w:hint="eastAsia" w:ascii="宋体" w:hAnsi="宋体" w:cs="宋体"/>
          <w:sz w:val="24"/>
          <w:highlight w:val="none"/>
          <w:u w:val="single"/>
          <w:lang w:eastAsia="zh-CN"/>
        </w:rPr>
        <w:t>；</w:t>
      </w:r>
    </w:p>
    <w:p>
      <w:pPr>
        <w:spacing w:line="360" w:lineRule="auto"/>
        <w:ind w:right="-420" w:rightChars="-200" w:firstLine="480" w:firstLineChars="200"/>
        <w:rPr>
          <w:highlight w:val="none"/>
        </w:rPr>
      </w:pPr>
      <w:r>
        <w:rPr>
          <w:rFonts w:hint="eastAsia" w:ascii="宋体" w:hAnsi="宋体" w:cs="宋体"/>
          <w:sz w:val="24"/>
          <w:highlight w:val="none"/>
          <w:u w:val="single"/>
        </w:rPr>
        <w:t>（4）若质保期内出现质量问题，甲方有权从质保金中扣除违约金，同时乙方应免费维修或更换。</w:t>
      </w:r>
    </w:p>
    <w:p>
      <w:pPr>
        <w:pStyle w:val="3"/>
        <w:ind w:firstLine="480" w:firstLineChars="200"/>
        <w:rPr>
          <w:rFonts w:hint="eastAsia" w:ascii="宋体" w:hAnsi="宋体" w:cs="宋体"/>
          <w:b/>
          <w:sz w:val="24"/>
          <w:highlight w:val="none"/>
        </w:rPr>
      </w:pPr>
      <w:r>
        <w:rPr>
          <w:rFonts w:hint="eastAsia" w:hAnsi="宋体" w:cs="宋体"/>
          <w:snapToGrid/>
          <w:kern w:val="2"/>
          <w:sz w:val="24"/>
          <w:szCs w:val="24"/>
          <w:highlight w:val="none"/>
          <w:lang w:val="en-US" w:eastAsia="zh-CN" w:bidi="ar-SA"/>
        </w:rPr>
        <w:t>8</w:t>
      </w:r>
      <w:r>
        <w:rPr>
          <w:rFonts w:hint="eastAsia" w:ascii="宋体" w:hAnsi="宋体" w:cs="宋体" w:eastAsiaTheme="minorEastAsia"/>
          <w:snapToGrid/>
          <w:kern w:val="2"/>
          <w:sz w:val="24"/>
          <w:szCs w:val="24"/>
          <w:highlight w:val="none"/>
          <w:lang w:val="en-US" w:eastAsia="zh-CN" w:bidi="ar-SA"/>
        </w:rPr>
        <w:t>.在使用</w:t>
      </w:r>
      <w:r>
        <w:rPr>
          <w:rFonts w:hint="eastAsia" w:hAnsi="宋体" w:cs="宋体"/>
          <w:snapToGrid/>
          <w:kern w:val="2"/>
          <w:sz w:val="24"/>
          <w:szCs w:val="24"/>
          <w:highlight w:val="none"/>
          <w:lang w:val="en-US" w:eastAsia="zh-CN" w:bidi="ar-SA"/>
        </w:rPr>
        <w:t>乙方提供的货物或者服务</w:t>
      </w:r>
      <w:r>
        <w:rPr>
          <w:rFonts w:hint="eastAsia" w:ascii="宋体" w:hAnsi="宋体" w:cs="宋体" w:eastAsiaTheme="minorEastAsia"/>
          <w:snapToGrid/>
          <w:kern w:val="2"/>
          <w:sz w:val="24"/>
          <w:szCs w:val="24"/>
          <w:highlight w:val="none"/>
          <w:lang w:val="en-US" w:eastAsia="zh-CN" w:bidi="ar-SA"/>
        </w:rPr>
        <w:t>过程中，因产品质量</w:t>
      </w:r>
      <w:r>
        <w:rPr>
          <w:rFonts w:hint="eastAsia" w:hAnsi="宋体" w:cs="宋体"/>
          <w:snapToGrid/>
          <w:kern w:val="2"/>
          <w:sz w:val="24"/>
          <w:szCs w:val="24"/>
          <w:highlight w:val="none"/>
          <w:lang w:val="en-US" w:eastAsia="zh-CN" w:bidi="ar-SA"/>
        </w:rPr>
        <w:t>或乙方其他</w:t>
      </w:r>
      <w:r>
        <w:rPr>
          <w:rFonts w:hint="eastAsia" w:ascii="宋体" w:hAnsi="宋体" w:cs="宋体" w:eastAsiaTheme="minorEastAsia"/>
          <w:snapToGrid/>
          <w:kern w:val="2"/>
          <w:sz w:val="24"/>
          <w:szCs w:val="24"/>
          <w:highlight w:val="none"/>
          <w:lang w:val="en-US" w:eastAsia="zh-CN" w:bidi="ar-SA"/>
        </w:rPr>
        <w:t>问题给机械设备造成故障或货物损坏，由</w:t>
      </w:r>
      <w:r>
        <w:rPr>
          <w:rFonts w:hint="eastAsia" w:hAnsi="宋体" w:cs="宋体"/>
          <w:snapToGrid/>
          <w:kern w:val="2"/>
          <w:sz w:val="24"/>
          <w:szCs w:val="24"/>
          <w:highlight w:val="none"/>
          <w:lang w:val="en-US" w:eastAsia="zh-CN" w:bidi="ar-SA"/>
        </w:rPr>
        <w:t>乙方</w:t>
      </w:r>
      <w:r>
        <w:rPr>
          <w:rFonts w:hint="eastAsia" w:ascii="宋体" w:hAnsi="宋体" w:cs="宋体" w:eastAsiaTheme="minorEastAsia"/>
          <w:snapToGrid/>
          <w:kern w:val="2"/>
          <w:sz w:val="24"/>
          <w:szCs w:val="24"/>
          <w:highlight w:val="none"/>
          <w:lang w:val="en-US" w:eastAsia="zh-CN" w:bidi="ar-SA"/>
        </w:rPr>
        <w:t>承担</w:t>
      </w:r>
      <w:r>
        <w:rPr>
          <w:rFonts w:hint="eastAsia" w:hAnsi="宋体" w:cs="宋体"/>
          <w:snapToGrid/>
          <w:kern w:val="2"/>
          <w:sz w:val="24"/>
          <w:szCs w:val="24"/>
          <w:highlight w:val="none"/>
          <w:lang w:val="en-US" w:eastAsia="zh-CN" w:bidi="ar-SA"/>
        </w:rPr>
        <w:t>甲方</w:t>
      </w:r>
      <w:r>
        <w:rPr>
          <w:rFonts w:hint="eastAsia" w:ascii="宋体" w:hAnsi="宋体" w:cs="宋体" w:eastAsiaTheme="minorEastAsia"/>
          <w:snapToGrid/>
          <w:kern w:val="2"/>
          <w:sz w:val="24"/>
          <w:szCs w:val="24"/>
          <w:highlight w:val="none"/>
          <w:lang w:val="en-US" w:eastAsia="zh-CN" w:bidi="ar-SA"/>
        </w:rPr>
        <w:t>的一切损失，包括直接和间接损失。</w:t>
      </w:r>
    </w:p>
    <w:p>
      <w:pPr>
        <w:spacing w:line="360" w:lineRule="auto"/>
        <w:ind w:firstLine="482" w:firstLineChars="200"/>
        <w:outlineLvl w:val="0"/>
        <w:rPr>
          <w:rFonts w:ascii="宋体" w:hAnsi="宋体" w:cs="宋体"/>
          <w:b/>
          <w:sz w:val="24"/>
        </w:rPr>
      </w:pPr>
      <w:r>
        <w:rPr>
          <w:rFonts w:hint="eastAsia" w:ascii="宋体" w:hAnsi="宋体" w:cs="宋体"/>
          <w:b/>
          <w:sz w:val="24"/>
        </w:rPr>
        <w:t>十二、合同争议的解决</w:t>
      </w:r>
      <w:bookmarkEnd w:id="402"/>
      <w:bookmarkEnd w:id="403"/>
      <w:bookmarkEnd w:id="404"/>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bookmarkStart w:id="405" w:name="_Toc11173"/>
      <w:bookmarkStart w:id="406" w:name="_Toc7245"/>
      <w:bookmarkStart w:id="407" w:name="_Toc15322"/>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ind w:left="0" w:leftChars="0"/>
        <w:jc w:val="left"/>
        <w:rPr>
          <w:rFonts w:ascii="宋体" w:hAnsi="宋体" w:cs="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lang w:val="en-US" w:eastAsia="zh-CN"/>
        </w:rPr>
        <w:t>甲方三份，乙方一份，</w:t>
      </w:r>
      <w:r>
        <w:rPr>
          <w:rFonts w:hint="eastAsia" w:ascii="宋体" w:hAnsi="宋体"/>
          <w:bCs/>
          <w:szCs w:val="24"/>
        </w:rPr>
        <w:t>第二章合同一般条款</w:t>
      </w:r>
      <w:r>
        <w:rPr>
          <w:rFonts w:hint="eastAsia" w:ascii="宋体" w:hAnsi="宋体"/>
        </w:rPr>
        <w:t>、</w:t>
      </w:r>
      <w:r>
        <w:rPr>
          <w:rFonts w:hint="eastAsia" w:ascii="宋体" w:hAnsi="宋体"/>
          <w:lang w:val="en-US" w:eastAsia="zh-CN"/>
        </w:rPr>
        <w:t>第三章</w:t>
      </w:r>
      <w:r>
        <w:rPr>
          <w:rFonts w:hint="eastAsia" w:ascii="宋体" w:hAnsi="宋体"/>
        </w:rPr>
        <w:t>廉洁协议为本合同不可分割的一部分，</w:t>
      </w:r>
      <w:r>
        <w:rPr>
          <w:rFonts w:ascii="宋体" w:hAnsi="宋体"/>
        </w:rPr>
        <w:t>均具有同等法律效力</w:t>
      </w:r>
      <w:r>
        <w:rPr>
          <w:rFonts w:hint="eastAsia" w:ascii="宋体" w:hAnsi="宋体"/>
        </w:rPr>
        <w:t>。</w:t>
      </w: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9"/>
        <w:ind w:left="0" w:leftChars="0" w:firstLine="0" w:firstLineChars="0"/>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pacing w:line="360" w:lineRule="auto"/>
        <w:ind w:firstLine="482" w:firstLineChars="200"/>
        <w:outlineLvl w:val="0"/>
        <w:rPr>
          <w:rFonts w:ascii="宋体" w:hAnsi="宋体" w:cs="宋体"/>
          <w:b/>
          <w:sz w:val="24"/>
        </w:rPr>
      </w:pPr>
      <w:bookmarkStart w:id="408" w:name="_Toc279701240"/>
      <w:bookmarkStart w:id="409" w:name="_Toc259093669"/>
      <w:bookmarkStart w:id="410" w:name="_Ref467379109"/>
      <w:bookmarkStart w:id="411" w:name="_Toc28763"/>
      <w:bookmarkStart w:id="412" w:name="_Ref467378463"/>
      <w:bookmarkStart w:id="413" w:name="_Ref467379205"/>
      <w:bookmarkStart w:id="414" w:name="_Ref467379101"/>
      <w:bookmarkStart w:id="415" w:name="_Ref467379094"/>
      <w:bookmarkStart w:id="416" w:name="_Toc19614"/>
      <w:bookmarkStart w:id="417" w:name="_Ref467379214"/>
      <w:bookmarkStart w:id="418" w:name="_Ref467378404"/>
      <w:bookmarkStart w:id="419" w:name="_Ref467378499"/>
      <w:bookmarkStart w:id="420" w:name="_Ref467379225"/>
      <w:bookmarkStart w:id="421" w:name="_Toc487900349"/>
      <w:bookmarkStart w:id="422" w:name="_Toc16917"/>
      <w:bookmarkStart w:id="423" w:name="_Ref467379195"/>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pacing w:line="360" w:lineRule="auto"/>
        <w:ind w:firstLine="482" w:firstLineChars="200"/>
        <w:outlineLvl w:val="0"/>
        <w:rPr>
          <w:rFonts w:ascii="宋体" w:hAnsi="宋体" w:cs="宋体"/>
          <w:b/>
          <w:sz w:val="24"/>
        </w:rPr>
      </w:pPr>
      <w:bookmarkStart w:id="427" w:name="_Toc259093670"/>
      <w:bookmarkStart w:id="428" w:name="_Toc27635"/>
      <w:bookmarkStart w:id="429" w:name="_Toc487900350"/>
      <w:bookmarkStart w:id="430" w:name="_Toc32504"/>
      <w:bookmarkStart w:id="431" w:name="_Toc13336"/>
      <w:bookmarkStart w:id="432" w:name="_Toc279701241"/>
      <w:r>
        <w:rPr>
          <w:rFonts w:hint="eastAsia" w:ascii="宋体" w:hAnsi="宋体" w:cs="宋体"/>
          <w:b/>
          <w:sz w:val="24"/>
        </w:rPr>
        <w:t>二、技术规范</w:t>
      </w:r>
      <w:bookmarkEnd w:id="427"/>
      <w:bookmarkEnd w:id="428"/>
      <w:bookmarkEnd w:id="429"/>
      <w:bookmarkEnd w:id="430"/>
      <w:bookmarkEnd w:id="431"/>
      <w:bookmarkEnd w:id="432"/>
    </w:p>
    <w:p>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pacing w:line="360" w:lineRule="auto"/>
        <w:ind w:firstLine="482" w:firstLineChars="200"/>
        <w:outlineLvl w:val="0"/>
        <w:rPr>
          <w:rFonts w:ascii="宋体" w:hAnsi="宋体" w:cs="宋体"/>
          <w:b/>
          <w:sz w:val="24"/>
        </w:rPr>
      </w:pPr>
      <w:bookmarkStart w:id="433" w:name="_Toc31634"/>
      <w:bookmarkStart w:id="434" w:name="_Toc487900351"/>
      <w:bookmarkStart w:id="435" w:name="_Toc9829"/>
      <w:bookmarkStart w:id="436" w:name="_Toc279701242"/>
      <w:bookmarkStart w:id="437" w:name="_Toc27853"/>
      <w:bookmarkStart w:id="438" w:name="_Toc259093671"/>
      <w:r>
        <w:rPr>
          <w:rFonts w:hint="eastAsia" w:ascii="宋体" w:hAnsi="宋体" w:cs="宋体"/>
          <w:b/>
          <w:sz w:val="24"/>
        </w:rPr>
        <w:t>三、知识产权</w:t>
      </w:r>
      <w:bookmarkEnd w:id="433"/>
      <w:bookmarkEnd w:id="434"/>
      <w:bookmarkEnd w:id="435"/>
      <w:bookmarkEnd w:id="436"/>
      <w:bookmarkEnd w:id="437"/>
      <w:bookmarkEnd w:id="438"/>
    </w:p>
    <w:p>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pacing w:line="360" w:lineRule="auto"/>
        <w:ind w:firstLine="482" w:firstLineChars="200"/>
        <w:outlineLvl w:val="0"/>
        <w:rPr>
          <w:rFonts w:ascii="宋体" w:hAnsi="宋体" w:eastAsia="宋体" w:cs="宋体"/>
          <w:b/>
          <w:sz w:val="24"/>
        </w:rPr>
      </w:pPr>
      <w:bookmarkStart w:id="439" w:name="_Toc29149"/>
      <w:bookmarkStart w:id="440" w:name="_Toc11932"/>
      <w:bookmarkStart w:id="441" w:name="_Toc4194"/>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pacing w:line="360" w:lineRule="auto"/>
        <w:ind w:firstLine="482" w:firstLineChars="200"/>
        <w:outlineLvl w:val="0"/>
        <w:rPr>
          <w:rFonts w:ascii="宋体" w:hAnsi="宋体" w:cs="宋体"/>
          <w:b/>
          <w:sz w:val="24"/>
        </w:rPr>
      </w:pPr>
      <w:bookmarkStart w:id="442" w:name="_Toc19074"/>
      <w:bookmarkStart w:id="443" w:name="_Toc26182"/>
      <w:bookmarkStart w:id="444" w:name="_Toc30272"/>
      <w:r>
        <w:rPr>
          <w:rFonts w:hint="eastAsia" w:ascii="宋体" w:hAnsi="宋体" w:cs="宋体"/>
          <w:b/>
          <w:sz w:val="24"/>
        </w:rPr>
        <w:t>五、 履约检查和问题反馈</w:t>
      </w:r>
      <w:bookmarkEnd w:id="442"/>
      <w:bookmarkEnd w:id="443"/>
      <w:bookmarkEnd w:id="444"/>
    </w:p>
    <w:p>
      <w:pPr>
        <w:spacing w:line="360" w:lineRule="auto"/>
        <w:ind w:firstLine="480" w:firstLineChars="200"/>
        <w:rPr>
          <w:rFonts w:ascii="宋体" w:hAnsi="宋体" w:cs="宋体"/>
          <w:sz w:val="24"/>
        </w:rPr>
      </w:pPr>
      <w:bookmarkStart w:id="445" w:name="_Toc186431854"/>
      <w:bookmarkStart w:id="446" w:name="_Ref467379793"/>
      <w:bookmarkStart w:id="447" w:name="_Toc259093676"/>
      <w:bookmarkStart w:id="448" w:name="_Toc279701247"/>
      <w:bookmarkStart w:id="449" w:name="_Toc487900357"/>
      <w:bookmarkStart w:id="450" w:name="_Ref46737980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pacing w:line="360" w:lineRule="auto"/>
        <w:ind w:firstLine="482" w:firstLineChars="200"/>
        <w:outlineLvl w:val="0"/>
        <w:rPr>
          <w:rFonts w:ascii="宋体" w:hAnsi="宋体" w:cs="宋体"/>
          <w:b/>
          <w:sz w:val="24"/>
        </w:rPr>
      </w:pPr>
      <w:bookmarkStart w:id="452" w:name="_Ref467379852"/>
      <w:bookmarkStart w:id="453" w:name="_Ref467379863"/>
      <w:bookmarkStart w:id="454" w:name="_Toc487900358"/>
      <w:bookmarkStart w:id="455" w:name="_Toc279701248"/>
      <w:bookmarkStart w:id="456" w:name="_Ref467379923"/>
      <w:bookmarkStart w:id="457" w:name="_Toc259093677"/>
      <w:bookmarkStart w:id="458" w:name="_Toc3225"/>
      <w:bookmarkStart w:id="459" w:name="_Toc774"/>
      <w:bookmarkStart w:id="460" w:name="_Toc16110"/>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pacing w:line="360" w:lineRule="auto"/>
        <w:ind w:firstLine="482" w:firstLineChars="200"/>
        <w:outlineLvl w:val="0"/>
        <w:rPr>
          <w:rFonts w:ascii="宋体" w:hAnsi="宋体" w:cs="宋体"/>
          <w:b/>
          <w:sz w:val="24"/>
        </w:rPr>
      </w:pPr>
      <w:bookmarkStart w:id="462" w:name="_Toc17244"/>
      <w:bookmarkStart w:id="463" w:name="_Toc279701252"/>
      <w:bookmarkStart w:id="464" w:name="_Toc259093681"/>
      <w:bookmarkStart w:id="465" w:name="_Toc487900362"/>
      <w:r>
        <w:rPr>
          <w:rFonts w:hint="eastAsia" w:ascii="宋体" w:hAnsi="宋体" w:cs="宋体"/>
          <w:b/>
          <w:sz w:val="24"/>
        </w:rPr>
        <w:t>八、货物的风险负担</w:t>
      </w:r>
      <w:bookmarkEnd w:id="462"/>
    </w:p>
    <w:p>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360" w:lineRule="auto"/>
        <w:ind w:firstLine="482" w:firstLineChars="200"/>
        <w:outlineLvl w:val="0"/>
        <w:rPr>
          <w:rFonts w:ascii="宋体" w:hAnsi="宋体" w:eastAsia="宋体" w:cs="宋体"/>
          <w:b/>
          <w:sz w:val="24"/>
        </w:rPr>
      </w:pPr>
      <w:bookmarkStart w:id="467" w:name="_Toc7502"/>
      <w:bookmarkStart w:id="468" w:name="_Toc279701254"/>
      <w:bookmarkStart w:id="469" w:name="_Ref467378121"/>
      <w:bookmarkStart w:id="470" w:name="_Toc259093683"/>
      <w:bookmarkStart w:id="471" w:name="_Toc487900364"/>
      <w:r>
        <w:rPr>
          <w:rFonts w:hint="eastAsia" w:ascii="宋体" w:hAnsi="宋体" w:cs="宋体"/>
          <w:b/>
          <w:sz w:val="24"/>
        </w:rPr>
        <w:t>十、合同变更</w:t>
      </w:r>
      <w:bookmarkEnd w:id="467"/>
      <w:r>
        <w:rPr>
          <w:rFonts w:hint="eastAsia" w:ascii="宋体" w:hAnsi="宋体" w:cs="宋体"/>
          <w:b/>
          <w:sz w:val="24"/>
        </w:rPr>
        <w:t>或补充</w:t>
      </w:r>
    </w:p>
    <w:p>
      <w:pPr>
        <w:spacing w:line="360" w:lineRule="auto"/>
        <w:ind w:firstLine="480" w:firstLineChars="200"/>
        <w:rPr>
          <w:rFonts w:ascii="宋体" w:hAnsi="宋体"/>
          <w:sz w:val="24"/>
        </w:rPr>
      </w:pPr>
      <w:bookmarkStart w:id="472" w:name="_Toc487900369"/>
      <w:bookmarkStart w:id="473" w:name="_Toc259093688"/>
      <w:bookmarkStart w:id="474" w:name="_Toc279701259"/>
      <w:bookmarkStart w:id="475" w:name="_Toc10366"/>
      <w:bookmarkStart w:id="476" w:name="_Toc15237"/>
      <w:bookmarkStart w:id="477" w:name="_Toc22955"/>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pacing w:line="360" w:lineRule="auto"/>
        <w:ind w:firstLine="482" w:firstLineChars="200"/>
        <w:outlineLvl w:val="0"/>
        <w:rPr>
          <w:rFonts w:ascii="宋体" w:hAnsi="宋体" w:cs="宋体"/>
          <w:b/>
          <w:sz w:val="24"/>
        </w:rPr>
      </w:pPr>
      <w:bookmarkStart w:id="478" w:name="_Toc16508"/>
      <w:bookmarkStart w:id="479" w:name="_Toc13566"/>
      <w:bookmarkStart w:id="480" w:name="_Toc14066"/>
      <w:r>
        <w:rPr>
          <w:rFonts w:hint="eastAsia" w:ascii="宋体" w:hAnsi="宋体" w:cs="宋体"/>
          <w:b/>
          <w:sz w:val="24"/>
        </w:rPr>
        <w:t>十二、不可抗力</w:t>
      </w:r>
      <w:bookmarkEnd w:id="478"/>
      <w:bookmarkEnd w:id="479"/>
      <w:bookmarkEnd w:id="480"/>
    </w:p>
    <w:p>
      <w:pPr>
        <w:spacing w:line="360" w:lineRule="auto"/>
        <w:ind w:firstLine="480" w:firstLineChars="200"/>
        <w:rPr>
          <w:rFonts w:ascii="宋体" w:hAnsi="宋体"/>
          <w:sz w:val="24"/>
        </w:rPr>
      </w:pPr>
      <w:bookmarkStart w:id="481" w:name="_Toc259093684"/>
      <w:bookmarkStart w:id="482" w:name="_Toc487900365"/>
      <w:bookmarkStart w:id="483" w:name="_Toc6969"/>
      <w:bookmarkStart w:id="484" w:name="_Toc30676"/>
      <w:bookmarkStart w:id="485" w:name="_Toc279701255"/>
      <w:bookmarkStart w:id="486" w:name="_Toc689"/>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pacing w:line="360" w:lineRule="auto"/>
        <w:ind w:firstLine="482" w:firstLineChars="200"/>
        <w:outlineLvl w:val="0"/>
        <w:rPr>
          <w:rFonts w:ascii="宋体" w:hAnsi="宋体" w:cs="宋体"/>
          <w:b/>
          <w:sz w:val="24"/>
        </w:rPr>
      </w:pPr>
      <w:bookmarkStart w:id="487" w:name="_Toc8298"/>
      <w:bookmarkStart w:id="488" w:name="_Toc7102"/>
      <w:bookmarkStart w:id="489" w:name="_Toc16959"/>
      <w:bookmarkStart w:id="490" w:name="_Toc259093687"/>
      <w:bookmarkStart w:id="491" w:name="_Toc279701258"/>
      <w:bookmarkStart w:id="492" w:name="_Toc487900368"/>
      <w:r>
        <w:rPr>
          <w:rFonts w:hint="eastAsia" w:ascii="宋体" w:hAnsi="宋体" w:cs="宋体"/>
          <w:b/>
          <w:sz w:val="24"/>
        </w:rPr>
        <w:t>十四、乙方破产</w:t>
      </w:r>
      <w:bookmarkEnd w:id="487"/>
      <w:bookmarkEnd w:id="488"/>
      <w:bookmarkEnd w:id="489"/>
      <w:bookmarkEnd w:id="490"/>
      <w:bookmarkEnd w:id="491"/>
      <w:bookmarkEnd w:id="492"/>
    </w:p>
    <w:p>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360" w:lineRule="auto"/>
        <w:ind w:firstLine="482" w:firstLineChars="200"/>
        <w:outlineLvl w:val="0"/>
        <w:rPr>
          <w:rFonts w:ascii="宋体" w:hAnsi="宋体" w:cs="宋体"/>
          <w:b/>
          <w:sz w:val="24"/>
        </w:rPr>
      </w:pPr>
      <w:bookmarkStart w:id="493" w:name="_Toc6134"/>
      <w:bookmarkStart w:id="494" w:name="_Toc29333"/>
      <w:bookmarkStart w:id="495" w:name="_Toc15387"/>
      <w:r>
        <w:rPr>
          <w:rFonts w:hint="eastAsia" w:ascii="宋体" w:hAnsi="宋体" w:cs="宋体"/>
          <w:b/>
          <w:sz w:val="24"/>
        </w:rPr>
        <w:t>十五、合同中止、终止</w:t>
      </w:r>
      <w:bookmarkEnd w:id="493"/>
      <w:bookmarkEnd w:id="494"/>
      <w:bookmarkEnd w:id="495"/>
    </w:p>
    <w:p>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pacing w:line="360" w:lineRule="auto"/>
        <w:ind w:firstLine="480" w:firstLineChars="200"/>
        <w:rPr>
          <w:rFonts w:ascii="宋体" w:hAnsi="宋体" w:cs="宋体"/>
          <w:sz w:val="24"/>
        </w:rPr>
      </w:pPr>
      <w:r>
        <w:rPr>
          <w:rFonts w:hint="eastAsia" w:ascii="宋体" w:hAnsi="宋体" w:cs="宋体"/>
          <w:sz w:val="24"/>
        </w:rPr>
        <w:t>3.合同到期后，自动终止合同；</w:t>
      </w:r>
    </w:p>
    <w:p>
      <w:pP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pacing w:line="360" w:lineRule="auto"/>
        <w:ind w:firstLine="482" w:firstLineChars="200"/>
        <w:outlineLvl w:val="0"/>
        <w:rPr>
          <w:rFonts w:ascii="宋体" w:hAnsi="宋体" w:cs="宋体"/>
          <w:b/>
          <w:sz w:val="24"/>
        </w:rPr>
      </w:pPr>
      <w:bookmarkStart w:id="496" w:name="_Toc279701261"/>
      <w:bookmarkStart w:id="497" w:name="_Toc487900371"/>
      <w:bookmarkStart w:id="498" w:name="_Toc259093690"/>
      <w:bookmarkStart w:id="499" w:name="_Toc19604"/>
      <w:bookmarkStart w:id="500" w:name="_Toc25182"/>
      <w:bookmarkStart w:id="501" w:name="_Toc1128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pacing w:line="360" w:lineRule="auto"/>
        <w:ind w:firstLine="480" w:firstLineChars="200"/>
        <w:rPr>
          <w:rFonts w:ascii="宋体" w:hAnsi="宋体"/>
          <w:sz w:val="24"/>
        </w:rPr>
      </w:pPr>
      <w:bookmarkStart w:id="502" w:name="_Toc27674"/>
      <w:bookmarkStart w:id="503" w:name="_Toc18401"/>
      <w:bookmarkStart w:id="504" w:name="_Toc30599"/>
      <w:bookmarkStart w:id="505" w:name="_Toc487900372"/>
      <w:bookmarkStart w:id="506" w:name="_Toc4355"/>
      <w:bookmarkStart w:id="507" w:name="_Toc18540"/>
      <w:bookmarkStart w:id="508" w:name="_Toc259093691"/>
      <w:bookmarkStart w:id="509" w:name="_Toc279701262"/>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pacing w:line="360" w:lineRule="auto"/>
        <w:ind w:firstLine="482" w:firstLineChars="200"/>
        <w:outlineLvl w:val="0"/>
        <w:rPr>
          <w:rFonts w:ascii="宋体" w:hAnsi="宋体" w:cs="宋体"/>
          <w:b/>
          <w:sz w:val="24"/>
        </w:rPr>
      </w:pPr>
      <w:bookmarkStart w:id="510" w:name="_Toc12773"/>
      <w:bookmarkStart w:id="511" w:name="_Toc279701263"/>
      <w:bookmarkStart w:id="512" w:name="_Toc18567"/>
      <w:bookmarkStart w:id="513" w:name="_Toc259093692"/>
      <w:bookmarkStart w:id="514" w:name="_Toc487900373"/>
      <w:bookmarkStart w:id="515" w:name="_Toc10330"/>
      <w:r>
        <w:rPr>
          <w:rFonts w:hint="eastAsia" w:ascii="宋体" w:hAnsi="宋体" w:cs="宋体"/>
          <w:b/>
          <w:sz w:val="24"/>
        </w:rPr>
        <w:t>十八、合同使用的文字和适用的法律</w:t>
      </w:r>
      <w:bookmarkEnd w:id="510"/>
      <w:bookmarkEnd w:id="511"/>
      <w:bookmarkEnd w:id="512"/>
      <w:bookmarkEnd w:id="513"/>
      <w:bookmarkEnd w:id="514"/>
      <w:bookmarkEnd w:id="515"/>
    </w:p>
    <w:p>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pacing w:line="360" w:lineRule="auto"/>
        <w:ind w:firstLine="482" w:firstLineChars="200"/>
        <w:outlineLvl w:val="0"/>
        <w:rPr>
          <w:rFonts w:ascii="宋体" w:hAnsi="宋体"/>
          <w:b/>
          <w:sz w:val="24"/>
        </w:rPr>
      </w:pPr>
      <w:r>
        <w:rPr>
          <w:rFonts w:hint="eastAsia" w:ascii="宋体" w:hAnsi="宋体"/>
          <w:b/>
          <w:sz w:val="24"/>
        </w:rPr>
        <w:t>十九、特别提示</w:t>
      </w:r>
    </w:p>
    <w:p>
      <w:pPr>
        <w:spacing w:line="360" w:lineRule="auto"/>
        <w:ind w:firstLine="482" w:firstLineChars="200"/>
        <w:rPr>
          <w:rFonts w:hint="eastAsia" w:ascii="Arial" w:hAnsi="Arial" w:cs="Arial"/>
          <w:sz w:val="32"/>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pPr>
              <w:spacing w:line="360" w:lineRule="auto"/>
              <w:rPr>
                <w:rFonts w:hint="eastAsia" w:ascii="宋体" w:hAnsi="宋体" w:eastAsia="宋体" w:cs="Times New Roman"/>
                <w:sz w:val="24"/>
                <w:lang w:val="zh-CN"/>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jc w:val="center"/>
        <w:rPr>
          <w:rFonts w:ascii="宋体" w:hAnsi="宋体" w:eastAsia="宋体" w:cs="Times New Roman"/>
          <w:b/>
        </w:rPr>
      </w:pPr>
    </w:p>
    <w:p>
      <w:pPr>
        <w:jc w:val="center"/>
        <w:rPr>
          <w:rFonts w:ascii="宋体" w:hAnsi="宋体" w:eastAsia="宋体" w:cs="Times New Roman"/>
          <w:b/>
        </w:rPr>
      </w:pPr>
    </w:p>
    <w:p>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三</w:t>
      </w:r>
      <w:r>
        <w:rPr>
          <w:rFonts w:hint="eastAsia" w:ascii="宋体" w:hAnsi="宋体" w:cs="Times New Roman"/>
          <w:b/>
          <w:szCs w:val="24"/>
        </w:rPr>
        <w:t xml:space="preserve">章 </w:t>
      </w:r>
      <w:r>
        <w:rPr>
          <w:rFonts w:hint="eastAsia" w:ascii="宋体" w:hAnsi="宋体"/>
          <w:b/>
          <w:szCs w:val="24"/>
        </w:rPr>
        <w:t>廉洁协议</w:t>
      </w:r>
    </w:p>
    <w:p>
      <w:pPr>
        <w:pStyle w:val="9"/>
        <w:ind w:firstLine="0" w:firstLineChars="0"/>
      </w:pPr>
    </w:p>
    <w:p>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adjustRightInd w:val="0"/>
        <w:spacing w:line="360" w:lineRule="auto"/>
        <w:ind w:firstLine="32"/>
        <w:rPr>
          <w:rFonts w:ascii="宋体" w:hAnsi="宋体" w:eastAsia="宋体" w:cs="宋体"/>
          <w:color w:val="000000"/>
          <w:sz w:val="24"/>
        </w:rPr>
      </w:pPr>
    </w:p>
    <w:p/>
    <w:p>
      <w:pPr>
        <w:pStyle w:val="14"/>
      </w:pPr>
    </w:p>
    <w:p/>
    <w:p>
      <w:pPr>
        <w:pStyle w:val="14"/>
      </w:pPr>
    </w:p>
    <w:p/>
    <w:p>
      <w:pPr>
        <w:pStyle w:val="14"/>
      </w:pPr>
    </w:p>
    <w:p/>
    <w:p>
      <w:pPr>
        <w:pStyle w:val="3"/>
      </w:pPr>
    </w:p>
    <w:p/>
    <w:p>
      <w:pPr>
        <w:pStyle w:val="3"/>
      </w:pPr>
    </w:p>
    <w:p/>
    <w:p>
      <w:pPr>
        <w:pStyle w:val="3"/>
      </w:pPr>
    </w:p>
    <w:p>
      <w:pPr>
        <w:pStyle w:val="2"/>
        <w:ind w:firstLine="0"/>
      </w:pPr>
    </w:p>
    <w:p/>
    <w:p/>
    <w:p/>
    <w:p/>
    <w:p>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7"/>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pacing w:line="360" w:lineRule="auto"/>
        <w:rPr>
          <w:rFonts w:ascii="Times New Roman" w:hAnsi="Times New Roman" w:eastAsia="Cambria Math" w:cs="Times New Roman"/>
          <w:sz w:val="96"/>
          <w:szCs w:val="22"/>
        </w:rPr>
      </w:pPr>
    </w:p>
    <w:p>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pacing w:line="360" w:lineRule="auto"/>
        <w:rPr>
          <w:rFonts w:ascii="宋体" w:hAnsi="宋体" w:eastAsia="宋体" w:cs="宋体"/>
          <w:sz w:val="44"/>
          <w:szCs w:val="44"/>
        </w:rPr>
      </w:pPr>
    </w:p>
    <w:p>
      <w:pPr>
        <w:spacing w:line="480" w:lineRule="auto"/>
        <w:ind w:left="2798" w:leftChars="399" w:hanging="1960" w:hangingChars="700"/>
        <w:jc w:val="left"/>
        <w:rPr>
          <w:rFonts w:hint="eastAsia" w:ascii="宋体" w:hAnsi="宋体" w:eastAsia="宋体" w:cs="宋体"/>
          <w:sz w:val="28"/>
          <w:szCs w:val="22"/>
          <w:u w:val="single"/>
          <w:lang w:eastAsia="zh-CN"/>
        </w:rPr>
      </w:pPr>
      <w:r>
        <w:rPr>
          <w:rFonts w:hint="eastAsia" w:ascii="宋体" w:hAnsi="宋体" w:eastAsia="宋体" w:cs="宋体"/>
          <w:sz w:val="28"/>
          <w:szCs w:val="22"/>
        </w:rPr>
        <w:t>采购项目名称：</w:t>
      </w:r>
      <w:r>
        <w:rPr>
          <w:rFonts w:hint="eastAsia" w:ascii="宋体" w:hAnsi="宋体" w:eastAsia="宋体" w:cs="宋体"/>
          <w:sz w:val="28"/>
          <w:szCs w:val="22"/>
          <w:u w:val="single"/>
          <w:lang w:eastAsia="zh-CN"/>
        </w:rPr>
        <w:t>2024年临江公司汽水取样备件（非标件）采购项目</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202408028</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杭州临江环境能源有限公司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pacing w:line="360" w:lineRule="auto"/>
        <w:jc w:val="center"/>
        <w:outlineLvl w:val="0"/>
        <w:rPr>
          <w:rFonts w:cs="仿宋" w:asciiTheme="minorEastAsia" w:hAnsiTheme="minorEastAsia"/>
          <w:b/>
          <w:kern w:val="0"/>
          <w:sz w:val="36"/>
          <w:szCs w:val="36"/>
        </w:rPr>
      </w:pPr>
    </w:p>
    <w:p>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pPr>
        <w:snapToGrid w:val="0"/>
        <w:spacing w:line="360" w:lineRule="auto"/>
        <w:rPr>
          <w:rFonts w:hint="eastAsia" w:cs="仿宋" w:asciiTheme="minorEastAsia" w:hAnsiTheme="minorEastAsia"/>
          <w:sz w:val="24"/>
        </w:rPr>
      </w:pPr>
    </w:p>
    <w:p>
      <w:pPr>
        <w:pStyle w:val="3"/>
      </w:pPr>
    </w:p>
    <w:p>
      <w:pPr>
        <w:pStyle w:val="2"/>
      </w:pPr>
    </w:p>
    <w:p/>
    <w:p/>
    <w:p/>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2024年临江公司汽水取样备件（非标件）采购项目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202408028</w:t>
      </w:r>
      <w:r>
        <w:rPr>
          <w:rFonts w:hint="eastAsia" w:cs="仿宋" w:asciiTheme="minorEastAsia" w:hAnsiTheme="minorEastAsia"/>
          <w:sz w:val="24"/>
        </w:rPr>
        <w:t>】采购活动，郑重承诺：</w:t>
      </w:r>
    </w:p>
    <w:p>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napToGrid w:val="0"/>
        <w:spacing w:line="360" w:lineRule="auto"/>
        <w:ind w:right="480"/>
        <w:jc w:val="center"/>
        <w:rPr>
          <w:rFonts w:cs="仿宋" w:asciiTheme="minorEastAsia" w:hAnsiTheme="minorEastAsia"/>
          <w:b/>
          <w:kern w:val="0"/>
          <w:sz w:val="32"/>
          <w:szCs w:val="32"/>
        </w:rPr>
      </w:pPr>
    </w:p>
    <w:p/>
    <w:p>
      <w:pPr>
        <w:pStyle w:val="3"/>
      </w:pPr>
    </w:p>
    <w:p>
      <w:pPr>
        <w:pStyle w:val="2"/>
      </w:pPr>
    </w:p>
    <w:p/>
    <w:p>
      <w:pPr>
        <w:pStyle w:val="3"/>
      </w:pPr>
    </w:p>
    <w:p>
      <w:pPr>
        <w:pStyle w:val="2"/>
      </w:pPr>
    </w:p>
    <w:p/>
    <w:p>
      <w:pPr>
        <w:pStyle w:val="3"/>
      </w:pPr>
    </w:p>
    <w:p>
      <w:pPr>
        <w:pStyle w:val="2"/>
      </w:pPr>
    </w:p>
    <w:p/>
    <w:p>
      <w:pPr>
        <w:pStyle w:val="13"/>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3"/>
        <w:rPr>
          <w:lang w:val="en-US"/>
        </w:rPr>
      </w:pPr>
    </w:p>
    <w:p>
      <w:pPr>
        <w:spacing w:line="360" w:lineRule="auto"/>
        <w:ind w:firstLine="643" w:firstLineChars="200"/>
        <w:rPr>
          <w:rFonts w:cs="仿宋" w:asciiTheme="minorEastAsia" w:hAnsiTheme="minorEastAsia"/>
          <w:b/>
          <w:kern w:val="0"/>
          <w:sz w:val="32"/>
          <w:szCs w:val="32"/>
        </w:rPr>
      </w:pPr>
    </w:p>
    <w:p>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p>
      <w:pPr>
        <w:pStyle w:val="3"/>
      </w:pPr>
    </w:p>
    <w:p>
      <w:pPr>
        <w:pStyle w:val="2"/>
      </w:pPr>
    </w:p>
    <w:p>
      <w:pPr>
        <w:rPr>
          <w:highlight w:val="none"/>
        </w:rPr>
      </w:pPr>
    </w:p>
    <w:p>
      <w:pPr>
        <w:pStyle w:val="3"/>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2"/>
        <w:jc w:val="center"/>
        <w:rPr>
          <w:rFonts w:hint="eastAsia" w:eastAsiaTheme="minorEastAsia"/>
          <w:highlight w:val="none"/>
          <w:lang w:eastAsia="zh-CN"/>
        </w:rPr>
      </w:pPr>
      <w:r>
        <w:rPr>
          <w:rFonts w:hint="eastAsia"/>
          <w:highlight w:val="none"/>
          <w:lang w:eastAsia="zh-CN"/>
        </w:rPr>
        <w:t>（</w:t>
      </w:r>
      <w:r>
        <w:rPr>
          <w:rFonts w:hint="eastAsia"/>
          <w:highlight w:val="none"/>
          <w:lang w:val="en-US" w:eastAsia="zh-CN"/>
        </w:rPr>
        <w:t>若有则提供，</w:t>
      </w:r>
      <w:r>
        <w:rPr>
          <w:rFonts w:hint="eastAsia" w:cs="仿宋" w:asciiTheme="minorEastAsia" w:hAnsiTheme="minorEastAsia"/>
          <w:sz w:val="24"/>
          <w:highlight w:val="none"/>
        </w:rPr>
        <w:t>未要求的，无需提供</w:t>
      </w:r>
      <w:r>
        <w:rPr>
          <w:rFonts w:hint="eastAsia"/>
          <w:highlight w:val="none"/>
          <w:lang w:eastAsia="zh-CN"/>
        </w:rPr>
        <w:t>）</w:t>
      </w: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3"/>
      </w:pPr>
    </w:p>
    <w:p>
      <w:pPr>
        <w:pStyle w:val="2"/>
      </w:pPr>
    </w:p>
    <w:p>
      <w:pPr>
        <w:pStyle w:val="3"/>
      </w:pPr>
    </w:p>
    <w:p>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pacing w:line="360" w:lineRule="auto"/>
        <w:jc w:val="center"/>
        <w:outlineLvl w:val="0"/>
        <w:rPr>
          <w:rFonts w:cs="仿宋" w:asciiTheme="minorEastAsia" w:hAnsiTheme="minorEastAsia"/>
          <w:b/>
          <w:kern w:val="0"/>
          <w:sz w:val="24"/>
        </w:rPr>
      </w:pPr>
    </w:p>
    <w:p>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Pr>
        <w:pStyle w:val="2"/>
      </w:pPr>
    </w:p>
    <w:p>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2024年临江公司汽水取样备件（非标件）采购项目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202408028</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2"/>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3"/>
      </w:pPr>
    </w:p>
    <w:p>
      <w:pPr>
        <w:pStyle w:val="2"/>
      </w:pPr>
    </w:p>
    <w:p>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napToGrid w:val="0"/>
        <w:spacing w:line="360" w:lineRule="auto"/>
        <w:rPr>
          <w:rFonts w:cs="仿宋" w:asciiTheme="minorEastAsia" w:hAnsiTheme="minorEastAsia"/>
          <w:kern w:val="0"/>
          <w:sz w:val="24"/>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2024年临江公司汽水取样备件（非标件）采购项目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202408028</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pPr>
        <w:snapToGrid w:val="0"/>
        <w:spacing w:line="360" w:lineRule="auto"/>
        <w:rPr>
          <w:rFonts w:cs="仿宋" w:asciiTheme="minorEastAsia" w:hAnsiTheme="minorEastAsia"/>
          <w:kern w:val="0"/>
          <w:sz w:val="24"/>
          <w:lang w:val="zh-CN"/>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pStyle w:val="3"/>
        <w:rPr>
          <w:rFonts w:cs="仿宋" w:asciiTheme="minorEastAsia" w:hAnsiTheme="minorEastAsia"/>
          <w:b/>
          <w:kern w:val="0"/>
          <w:sz w:val="32"/>
          <w:szCs w:val="32"/>
        </w:rPr>
      </w:pPr>
    </w:p>
    <w:p>
      <w:pPr>
        <w:pStyle w:val="2"/>
        <w:rPr>
          <w:rFonts w:cs="仿宋" w:asciiTheme="minorEastAsia" w:hAnsiTheme="minorEastAsia"/>
          <w:b/>
          <w:kern w:val="0"/>
          <w:sz w:val="32"/>
          <w:szCs w:val="32"/>
        </w:rPr>
      </w:pPr>
    </w:p>
    <w:p>
      <w:pPr>
        <w:rPr>
          <w:rFonts w:cs="仿宋" w:asciiTheme="minorEastAsia" w:hAnsiTheme="minorEastAsia"/>
          <w:b/>
          <w:kern w:val="0"/>
          <w:sz w:val="32"/>
          <w:szCs w:val="32"/>
          <w:lang w:val="zh-CN"/>
        </w:rPr>
      </w:pPr>
    </w:p>
    <w:p>
      <w:pPr>
        <w:pStyle w:val="3"/>
        <w:rPr>
          <w:rFonts w:cs="仿宋" w:asciiTheme="minorEastAsia" w:hAnsiTheme="minorEastAsia"/>
          <w:b/>
          <w:kern w:val="0"/>
          <w:sz w:val="32"/>
          <w:szCs w:val="32"/>
        </w:rPr>
      </w:pPr>
    </w:p>
    <w:p>
      <w:pPr>
        <w:pStyle w:val="2"/>
      </w:pPr>
    </w:p>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jc w:val="center"/>
        <w:rPr>
          <w:rFonts w:cs="仿宋" w:asciiTheme="minorEastAsia" w:hAnsiTheme="minorEastAsia"/>
          <w:kern w:val="0"/>
          <w:sz w:val="24"/>
          <w:lang w:val="zh-CN"/>
        </w:rPr>
      </w:pPr>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jc w:val="center"/>
              <w:rPr>
                <w:rFonts w:cs="仿宋" w:asciiTheme="minorEastAsia" w:hAnsiTheme="minorEastAsia"/>
                <w:sz w:val="24"/>
              </w:rPr>
            </w:pPr>
          </w:p>
          <w:p>
            <w:pPr>
              <w:jc w:val="center"/>
              <w:rPr>
                <w:rFonts w:cs="仿宋" w:asciiTheme="minorEastAsia" w:hAnsiTheme="minorEastAsia"/>
                <w:sz w:val="24"/>
              </w:rPr>
            </w:pPr>
            <w:r>
              <w:rPr>
                <w:rFonts w:hint="eastAsia" w:cs="仿宋" w:asciiTheme="minorEastAsia" w:hAnsiTheme="minorEastAsia"/>
                <w:sz w:val="24"/>
              </w:rPr>
              <w:t>见响应文件</w:t>
            </w:r>
          </w:p>
          <w:p>
            <w:pP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bl>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bl>
    <w:p>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napToGrid w:val="0"/>
        <w:spacing w:line="360" w:lineRule="auto"/>
        <w:rPr>
          <w:rFonts w:cs="仿宋" w:asciiTheme="minorEastAsia" w:hAnsiTheme="minorEastAsia"/>
          <w:sz w:val="24"/>
        </w:rPr>
      </w:pPr>
    </w:p>
    <w:p>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3"/>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3"/>
        <w:rPr>
          <w:lang w:val="zh-CN"/>
        </w:rPr>
      </w:pPr>
    </w:p>
    <w:p>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bCs/>
          <w:sz w:val="24"/>
        </w:r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3"/>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r>
        <w:rPr>
          <w:rFonts w:hint="eastAsia" w:ascii="宋体" w:hAnsi="宋体" w:eastAsia="宋体" w:cs="宋体"/>
          <w:b/>
          <w:kern w:val="0"/>
          <w:sz w:val="24"/>
        </w:rPr>
        <w:t>注：</w:t>
      </w:r>
    </w:p>
    <w:p>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2024年临江公司汽水取样备件（非标件）采购项目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202408028</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7"/>
        <w:jc w:val="center"/>
        <w:rPr>
          <w:sz w:val="32"/>
          <w:szCs w:val="32"/>
        </w:rPr>
      </w:pPr>
      <w:r>
        <w:rPr>
          <w:rFonts w:hint="eastAsia"/>
          <w:sz w:val="32"/>
          <w:szCs w:val="32"/>
        </w:rPr>
        <w:t>一 、 报价函</w:t>
      </w:r>
    </w:p>
    <w:p>
      <w:pPr>
        <w:pStyle w:val="3"/>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2024年临江公司汽水取样备件（非标件）采购项目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202408028</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3"/>
        <w:ind w:firstLine="480" w:firstLineChars="200"/>
        <w:jc w:val="left"/>
        <w:rPr>
          <w:rFonts w:hAnsi="宋体" w:cs="宋体"/>
        </w:rPr>
      </w:pPr>
    </w:p>
    <w:p>
      <w:pPr>
        <w:pStyle w:val="3"/>
        <w:ind w:firstLine="480" w:firstLineChars="200"/>
        <w:jc w:val="left"/>
        <w:rPr>
          <w:rFonts w:hAnsi="宋体" w:cs="宋体"/>
        </w:rPr>
      </w:pPr>
    </w:p>
    <w:p>
      <w:pPr>
        <w:pStyle w:val="3"/>
        <w:jc w:val="left"/>
        <w:rPr>
          <w:rFonts w:hAnsi="宋体" w:cs="宋体"/>
        </w:rPr>
      </w:pPr>
      <w:r>
        <w:rPr>
          <w:rFonts w:hint="eastAsia" w:hAnsi="宋体" w:cs="宋体"/>
        </w:rPr>
        <w:t>供应商名称：（盖单位公章）</w:t>
      </w:r>
    </w:p>
    <w:p>
      <w:pPr>
        <w:pStyle w:val="3"/>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3"/>
        <w:tabs>
          <w:tab w:val="left" w:pos="4101"/>
        </w:tabs>
        <w:jc w:val="left"/>
        <w:rPr>
          <w:rFonts w:hAnsi="宋体" w:cs="宋体"/>
        </w:rPr>
      </w:pPr>
      <w:r>
        <w:rPr>
          <w:rFonts w:hint="eastAsia" w:hAnsi="宋体" w:cs="宋体"/>
        </w:rPr>
        <w:t>地址：</w:t>
      </w:r>
    </w:p>
    <w:p>
      <w:pPr>
        <w:pStyle w:val="3"/>
        <w:tabs>
          <w:tab w:val="left" w:pos="4101"/>
        </w:tabs>
        <w:jc w:val="left"/>
        <w:rPr>
          <w:rFonts w:hAnsi="宋体" w:cs="宋体"/>
        </w:rPr>
      </w:pPr>
      <w:r>
        <w:rPr>
          <w:rFonts w:hint="eastAsia" w:hAnsi="宋体" w:cs="宋体"/>
        </w:rPr>
        <w:t>电话</w:t>
      </w:r>
      <w:r>
        <w:rPr>
          <w:rFonts w:hint="eastAsia" w:hAnsi="宋体" w:cs="宋体"/>
          <w:spacing w:val="-17"/>
        </w:rPr>
        <w:t>：</w:t>
      </w:r>
    </w:p>
    <w:p>
      <w:pP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2024年临江公司汽水取样备件（非标件）采购项目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202408028</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p>
      <w:pPr>
        <w:pStyle w:val="2"/>
        <w:rPr>
          <w:rFonts w:hint="eastAsia"/>
          <w:lang w:val="zh-CN"/>
        </w:rPr>
      </w:pPr>
    </w:p>
    <w:tbl>
      <w:tblPr>
        <w:tblStyle w:val="15"/>
        <w:tblW w:w="13962"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03"/>
        <w:gridCol w:w="1611"/>
        <w:gridCol w:w="724"/>
        <w:gridCol w:w="3747"/>
        <w:gridCol w:w="805"/>
        <w:gridCol w:w="1268"/>
        <w:gridCol w:w="1186"/>
        <w:gridCol w:w="1486"/>
        <w:gridCol w:w="2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0" w:hRule="atLeast"/>
        </w:trPr>
        <w:tc>
          <w:tcPr>
            <w:tcW w:w="503"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序号</w:t>
            </w:r>
          </w:p>
        </w:tc>
        <w:tc>
          <w:tcPr>
            <w:tcW w:w="1611"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物资名称</w:t>
            </w:r>
          </w:p>
        </w:tc>
        <w:tc>
          <w:tcPr>
            <w:tcW w:w="724"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品牌</w:t>
            </w:r>
          </w:p>
        </w:tc>
        <w:tc>
          <w:tcPr>
            <w:tcW w:w="3747"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型号规格</w:t>
            </w:r>
          </w:p>
        </w:tc>
        <w:tc>
          <w:tcPr>
            <w:tcW w:w="805"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单位</w:t>
            </w:r>
          </w:p>
        </w:tc>
        <w:tc>
          <w:tcPr>
            <w:tcW w:w="1268"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数量</w:t>
            </w:r>
          </w:p>
        </w:tc>
        <w:tc>
          <w:tcPr>
            <w:tcW w:w="1186" w:type="dxa"/>
            <w:shd w:val="clear" w:color="auto" w:fill="auto"/>
            <w:vAlign w:val="center"/>
          </w:tcPr>
          <w:p>
            <w:pPr>
              <w:jc w:val="center"/>
              <w:rPr>
                <w:rFonts w:hint="default"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单价（元）</w:t>
            </w:r>
          </w:p>
        </w:tc>
        <w:tc>
          <w:tcPr>
            <w:tcW w:w="1486"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总计（元）</w:t>
            </w:r>
          </w:p>
        </w:tc>
        <w:tc>
          <w:tcPr>
            <w:tcW w:w="2632" w:type="dxa"/>
            <w:shd w:val="clear" w:color="auto" w:fill="auto"/>
            <w:vAlign w:val="center"/>
          </w:tcPr>
          <w:p>
            <w:pPr>
              <w:jc w:val="center"/>
              <w:rPr>
                <w:rFonts w:hint="default"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25" w:hRule="atLeast"/>
        </w:trPr>
        <w:tc>
          <w:tcPr>
            <w:tcW w:w="503"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1611"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一级冷却器芯</w:t>
            </w:r>
          </w:p>
        </w:tc>
        <w:tc>
          <w:tcPr>
            <w:tcW w:w="724"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747"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HP01A-01；热交换面积（㎡）0.32㎡；样品最高压力（MPa）38；样品最高温度（℃）550℃；样品最大流量（L/min）2500；样品接口管径Φ12×3；冷却水管管径Φ22×2.5；冷却器材质304SS；样水连接方式：螺纹连接；冷却水连接方式：焊接</w:t>
            </w:r>
          </w:p>
        </w:tc>
        <w:tc>
          <w:tcPr>
            <w:tcW w:w="805"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1268"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11</w:t>
            </w:r>
          </w:p>
        </w:tc>
        <w:tc>
          <w:tcPr>
            <w:tcW w:w="1186" w:type="dxa"/>
            <w:shd w:val="clear" w:color="auto" w:fill="auto"/>
            <w:noWrap/>
            <w:vAlign w:val="center"/>
          </w:tcPr>
          <w:p>
            <w:pPr>
              <w:jc w:val="center"/>
              <w:rPr>
                <w:rFonts w:hint="eastAsia" w:ascii="宋体" w:hAnsi="宋体" w:eastAsia="宋体" w:cs="宋体"/>
                <w:snapToGrid w:val="0"/>
                <w:szCs w:val="21"/>
                <w:lang w:val="en-US" w:eastAsia="zh-CN"/>
              </w:rPr>
            </w:pPr>
          </w:p>
        </w:tc>
        <w:tc>
          <w:tcPr>
            <w:tcW w:w="1486" w:type="dxa"/>
            <w:shd w:val="clear" w:color="auto" w:fill="auto"/>
            <w:noWrap/>
            <w:vAlign w:val="center"/>
          </w:tcPr>
          <w:p>
            <w:pPr>
              <w:jc w:val="center"/>
              <w:rPr>
                <w:rFonts w:hint="eastAsia" w:ascii="宋体" w:hAnsi="宋体" w:eastAsia="宋体" w:cs="宋体"/>
                <w:snapToGrid w:val="0"/>
                <w:szCs w:val="21"/>
                <w:lang w:val="en-US" w:eastAsia="zh-CN"/>
              </w:rPr>
            </w:pPr>
          </w:p>
        </w:tc>
        <w:tc>
          <w:tcPr>
            <w:tcW w:w="2632" w:type="dxa"/>
            <w:shd w:val="clear" w:color="auto" w:fill="auto"/>
            <w:noWrap/>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drawing>
                <wp:inline distT="0" distB="0" distL="114300" distR="114300">
                  <wp:extent cx="1563370" cy="1560830"/>
                  <wp:effectExtent l="0" t="0" r="17780" b="1270"/>
                  <wp:docPr id="19" name="图片 19" descr="微信图片_2024081510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微信图片_20240815104706"/>
                          <pic:cNvPicPr>
                            <a:picLocks noChangeAspect="1"/>
                          </pic:cNvPicPr>
                        </pic:nvPicPr>
                        <pic:blipFill>
                          <a:blip r:embed="rId23"/>
                          <a:stretch>
                            <a:fillRect/>
                          </a:stretch>
                        </pic:blipFill>
                        <pic:spPr>
                          <a:xfrm>
                            <a:off x="0" y="0"/>
                            <a:ext cx="1563370" cy="156083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503"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1611"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二级冷却器芯</w:t>
            </w:r>
          </w:p>
        </w:tc>
        <w:tc>
          <w:tcPr>
            <w:tcW w:w="724"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747"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HP01B-01；热交换面积（㎡）0.427㎡；样品最高压力（MPa）38；样品最高温度（℃）550℃；样品最大流量（L/min）2500；样品接口管径Φ10×1.5；冷却水管管径Φ22×2.5；冷却器材质304SS；样水连接方式：螺纹连接；冷却水连接方式：焊接</w:t>
            </w:r>
          </w:p>
        </w:tc>
        <w:tc>
          <w:tcPr>
            <w:tcW w:w="805"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1268"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11</w:t>
            </w:r>
          </w:p>
        </w:tc>
        <w:tc>
          <w:tcPr>
            <w:tcW w:w="1186" w:type="dxa"/>
            <w:shd w:val="clear" w:color="auto" w:fill="auto"/>
            <w:noWrap/>
            <w:vAlign w:val="center"/>
          </w:tcPr>
          <w:p>
            <w:pPr>
              <w:jc w:val="center"/>
              <w:rPr>
                <w:rFonts w:hint="eastAsia" w:ascii="宋体" w:hAnsi="宋体" w:eastAsia="宋体" w:cs="宋体"/>
                <w:snapToGrid w:val="0"/>
                <w:szCs w:val="21"/>
                <w:lang w:val="en-US" w:eastAsia="zh-CN"/>
              </w:rPr>
            </w:pPr>
          </w:p>
        </w:tc>
        <w:tc>
          <w:tcPr>
            <w:tcW w:w="1486" w:type="dxa"/>
            <w:shd w:val="clear" w:color="auto" w:fill="auto"/>
            <w:noWrap/>
            <w:vAlign w:val="center"/>
          </w:tcPr>
          <w:p>
            <w:pPr>
              <w:jc w:val="center"/>
              <w:rPr>
                <w:rFonts w:hint="eastAsia" w:ascii="宋体" w:hAnsi="宋体" w:eastAsia="宋体" w:cs="宋体"/>
                <w:snapToGrid w:val="0"/>
                <w:szCs w:val="21"/>
                <w:lang w:val="en-US" w:eastAsia="zh-CN"/>
              </w:rPr>
            </w:pPr>
          </w:p>
        </w:tc>
        <w:tc>
          <w:tcPr>
            <w:tcW w:w="2632"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drawing>
                <wp:inline distT="0" distB="0" distL="114300" distR="114300">
                  <wp:extent cx="1545590" cy="1741170"/>
                  <wp:effectExtent l="0" t="0" r="16510" b="11430"/>
                  <wp:docPr id="20" name="图片 20" descr="微信图片_2024081510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微信图片_20240815104720"/>
                          <pic:cNvPicPr>
                            <a:picLocks noChangeAspect="1"/>
                          </pic:cNvPicPr>
                        </pic:nvPicPr>
                        <pic:blipFill>
                          <a:blip r:embed="rId24"/>
                          <a:stretch>
                            <a:fillRect/>
                          </a:stretch>
                        </pic:blipFill>
                        <pic:spPr>
                          <a:xfrm>
                            <a:off x="0" y="0"/>
                            <a:ext cx="1545590" cy="174117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503"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1611"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水样过滤器滤芯</w:t>
            </w:r>
          </w:p>
        </w:tc>
        <w:tc>
          <w:tcPr>
            <w:tcW w:w="724"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747"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HP03D-01；工作压力1.6mpa；样品水流量0-600L/min；滤网目数200;</w:t>
            </w:r>
          </w:p>
        </w:tc>
        <w:tc>
          <w:tcPr>
            <w:tcW w:w="805"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1268"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1000</w:t>
            </w:r>
          </w:p>
        </w:tc>
        <w:tc>
          <w:tcPr>
            <w:tcW w:w="1186" w:type="dxa"/>
            <w:shd w:val="clear" w:color="auto" w:fill="auto"/>
            <w:noWrap/>
            <w:vAlign w:val="center"/>
          </w:tcPr>
          <w:p>
            <w:pPr>
              <w:jc w:val="center"/>
              <w:rPr>
                <w:rFonts w:hint="eastAsia" w:ascii="宋体" w:hAnsi="宋体" w:eastAsia="宋体" w:cs="宋体"/>
                <w:snapToGrid w:val="0"/>
                <w:szCs w:val="21"/>
                <w:lang w:val="en-US" w:eastAsia="zh-CN"/>
              </w:rPr>
            </w:pPr>
          </w:p>
        </w:tc>
        <w:tc>
          <w:tcPr>
            <w:tcW w:w="1486" w:type="dxa"/>
            <w:shd w:val="clear" w:color="auto" w:fill="auto"/>
            <w:noWrap/>
            <w:vAlign w:val="center"/>
          </w:tcPr>
          <w:p>
            <w:pPr>
              <w:jc w:val="center"/>
              <w:rPr>
                <w:rFonts w:hint="eastAsia" w:ascii="宋体" w:hAnsi="宋体" w:eastAsia="宋体" w:cs="宋体"/>
                <w:snapToGrid w:val="0"/>
                <w:szCs w:val="21"/>
                <w:lang w:val="en-US" w:eastAsia="zh-CN"/>
              </w:rPr>
            </w:pPr>
          </w:p>
        </w:tc>
        <w:tc>
          <w:tcPr>
            <w:tcW w:w="2632" w:type="dxa"/>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drawing>
                <wp:inline distT="0" distB="0" distL="114300" distR="114300">
                  <wp:extent cx="1603375" cy="1713230"/>
                  <wp:effectExtent l="0" t="0" r="15875" b="1270"/>
                  <wp:docPr id="21" name="图片 21" descr="0cd68ea0e82c4ed567cf9eed146d6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0cd68ea0e82c4ed567cf9eed146d6e3"/>
                          <pic:cNvPicPr>
                            <a:picLocks noChangeAspect="1"/>
                          </pic:cNvPicPr>
                        </pic:nvPicPr>
                        <pic:blipFill>
                          <a:blip r:embed="rId25"/>
                          <a:stretch>
                            <a:fillRect/>
                          </a:stretch>
                        </pic:blipFill>
                        <pic:spPr>
                          <a:xfrm>
                            <a:off x="0" y="0"/>
                            <a:ext cx="1603375" cy="171323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0" w:type="dxa"/>
            <w:gridSpan w:val="5"/>
            <w:shd w:val="clear" w:color="auto" w:fill="auto"/>
            <w:noWrap/>
            <w:vAlign w:val="center"/>
          </w:tcPr>
          <w:p>
            <w:pPr>
              <w:jc w:val="center"/>
              <w:rPr>
                <w:rFonts w:hint="default" w:ascii="宋体" w:hAnsi="宋体" w:eastAsia="宋体" w:cs="宋体"/>
                <w:snapToGrid w:val="0"/>
                <w:szCs w:val="21"/>
                <w:lang w:val="en-US" w:eastAsia="zh-CN"/>
              </w:rPr>
            </w:pPr>
            <w:r>
              <w:rPr>
                <w:rFonts w:hint="eastAsia" w:cs="仿宋" w:asciiTheme="minorEastAsia" w:hAnsiTheme="minorEastAsia"/>
                <w:b/>
                <w:sz w:val="21"/>
                <w:szCs w:val="21"/>
              </w:rPr>
              <w:t>响应报价合计（小写）</w:t>
            </w:r>
          </w:p>
        </w:tc>
        <w:tc>
          <w:tcPr>
            <w:tcW w:w="6572" w:type="dxa"/>
            <w:gridSpan w:val="4"/>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0" w:type="dxa"/>
            <w:gridSpan w:val="5"/>
            <w:shd w:val="clear" w:color="auto" w:fill="auto"/>
            <w:noWrap/>
            <w:vAlign w:val="center"/>
          </w:tcPr>
          <w:p>
            <w:pPr>
              <w:jc w:val="center"/>
              <w:rPr>
                <w:rFonts w:hint="eastAsia" w:cs="仿宋" w:asciiTheme="minorEastAsia" w:hAnsiTheme="minorEastAsia"/>
                <w:b/>
                <w:sz w:val="21"/>
                <w:szCs w:val="21"/>
              </w:rPr>
            </w:pPr>
            <w:r>
              <w:rPr>
                <w:rFonts w:hint="eastAsia" w:cs="仿宋" w:asciiTheme="minorEastAsia" w:hAnsiTheme="minorEastAsia"/>
                <w:b/>
                <w:sz w:val="21"/>
                <w:szCs w:val="21"/>
              </w:rPr>
              <w:t>响应报价合计（大写）</w:t>
            </w:r>
          </w:p>
        </w:tc>
        <w:tc>
          <w:tcPr>
            <w:tcW w:w="6572" w:type="dxa"/>
            <w:gridSpan w:val="4"/>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390" w:type="dxa"/>
            <w:gridSpan w:val="5"/>
            <w:shd w:val="clear" w:color="auto" w:fill="auto"/>
            <w:noWrap/>
            <w:vAlign w:val="center"/>
          </w:tcPr>
          <w:p>
            <w:pPr>
              <w:jc w:val="center"/>
              <w:rPr>
                <w:rFonts w:hint="eastAsia" w:cs="仿宋" w:asciiTheme="minorEastAsia" w:hAnsiTheme="minorEastAsia"/>
                <w:b/>
                <w:sz w:val="21"/>
                <w:szCs w:val="21"/>
              </w:rPr>
            </w:pPr>
            <w:r>
              <w:rPr>
                <w:rFonts w:hint="eastAsia" w:cs="仿宋" w:asciiTheme="minorEastAsia" w:hAnsiTheme="minorEastAsia"/>
                <w:b/>
                <w:sz w:val="21"/>
                <w:szCs w:val="21"/>
              </w:rPr>
              <w:t>税率</w:t>
            </w:r>
          </w:p>
        </w:tc>
        <w:tc>
          <w:tcPr>
            <w:tcW w:w="6572" w:type="dxa"/>
            <w:gridSpan w:val="4"/>
            <w:shd w:val="clear" w:color="auto" w:fill="auto"/>
            <w:noWrap/>
            <w:vAlign w:val="center"/>
          </w:tcPr>
          <w:p>
            <w:pPr>
              <w:jc w:val="center"/>
              <w:rPr>
                <w:rFonts w:hint="eastAsia" w:ascii="宋体" w:hAnsi="宋体" w:eastAsia="宋体" w:cs="宋体"/>
                <w:snapToGrid w:val="0"/>
                <w:szCs w:val="21"/>
                <w:lang w:val="en-US" w:eastAsia="zh-CN"/>
              </w:rPr>
            </w:pPr>
            <w:r>
              <w:rPr>
                <w:rFonts w:hint="eastAsia" w:cs="仿宋" w:asciiTheme="minorEastAsia" w:hAnsiTheme="minorEastAsia"/>
                <w:sz w:val="24"/>
                <w:u w:val="single"/>
              </w:rPr>
              <w:t xml:space="preserve">    </w:t>
            </w:r>
            <w:r>
              <w:rPr>
                <w:rFonts w:hint="eastAsia" w:cs="仿宋" w:asciiTheme="minorEastAsia" w:hAnsiTheme="minorEastAsia"/>
                <w:sz w:val="24"/>
              </w:rPr>
              <w:t xml:space="preserve"> %</w:t>
            </w:r>
          </w:p>
        </w:tc>
      </w:tr>
    </w:tbl>
    <w:p>
      <w:pPr>
        <w:spacing w:line="360" w:lineRule="auto"/>
        <w:jc w:val="center"/>
        <w:rPr>
          <w:rFonts w:hint="eastAsia" w:cs="仿宋" w:asciiTheme="minorEastAsia" w:hAnsiTheme="minorEastAsia"/>
          <w:b/>
          <w:kern w:val="0"/>
          <w:sz w:val="24"/>
          <w:lang w:val="zh-CN"/>
        </w:rPr>
      </w:pPr>
    </w:p>
    <w:p>
      <w:pPr>
        <w:snapToGrid w:val="0"/>
        <w:spacing w:line="360" w:lineRule="auto"/>
        <w:rPr>
          <w:rFonts w:ascii="宋体" w:hAnsi="宋体" w:cs="宋体"/>
          <w:kern w:val="0"/>
          <w:sz w:val="24"/>
          <w:lang w:val="zh-CN"/>
        </w:rPr>
      </w:pPr>
      <w:r>
        <w:rPr>
          <w:rFonts w:hint="eastAsia" w:cs="仿宋" w:asciiTheme="minorEastAsia" w:hAnsiTheme="minorEastAsia"/>
          <w:b/>
          <w:kern w:val="0"/>
          <w:sz w:val="24"/>
          <w:lang w:val="zh-CN"/>
        </w:rPr>
        <w:t>注：</w:t>
      </w: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napToGrid w:val="0"/>
        <w:spacing w:line="360" w:lineRule="auto"/>
        <w:ind w:firstLine="480" w:firstLineChars="200"/>
        <w:jc w:val="left"/>
      </w:pPr>
      <w:r>
        <w:rPr>
          <w:rFonts w:hint="eastAsia" w:ascii="宋体" w:hAnsi="宋体" w:cs="宋体"/>
          <w:kern w:val="0"/>
          <w:sz w:val="24"/>
          <w:lang w:val="en-US" w:eastAsia="zh-CN"/>
        </w:rPr>
        <w:t>3</w:t>
      </w:r>
      <w:r>
        <w:rPr>
          <w:rFonts w:hint="eastAsia" w:ascii="宋体" w:hAnsi="宋体" w:cs="宋体"/>
          <w:kern w:val="0"/>
          <w:sz w:val="24"/>
          <w:lang w:val="zh-CN"/>
        </w:rPr>
        <w:t>、特别提示：采购人将对项目名称和项目编号，成交供应商名称、成交金额予以公示。</w:t>
      </w:r>
    </w:p>
    <w:p>
      <w:pPr>
        <w:pStyle w:val="3"/>
      </w:pPr>
    </w:p>
    <w:p>
      <w:p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二、质疑项目基本情况</w:t>
      </w:r>
    </w:p>
    <w:p>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三、质疑事项具体内容</w:t>
      </w:r>
    </w:p>
    <w:p>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质疑事项2</w:t>
      </w:r>
    </w:p>
    <w:p>
      <w:pPr>
        <w:snapToGrid w:val="0"/>
        <w:spacing w:line="360" w:lineRule="auto"/>
        <w:rPr>
          <w:rFonts w:ascii="宋体" w:hAnsi="宋体" w:cs="宋体"/>
          <w:sz w:val="24"/>
        </w:rPr>
      </w:pPr>
      <w:r>
        <w:rPr>
          <w:rFonts w:hint="eastAsia" w:ascii="宋体" w:hAnsi="宋体" w:cs="宋体"/>
          <w:sz w:val="24"/>
        </w:rPr>
        <w:t>……</w:t>
      </w:r>
    </w:p>
    <w:p>
      <w:pPr>
        <w:snapToGrid w:val="0"/>
        <w:spacing w:line="360" w:lineRule="auto"/>
        <w:rPr>
          <w:rFonts w:ascii="宋体" w:hAnsi="宋体" w:cs="宋体"/>
          <w:bCs/>
          <w:sz w:val="24"/>
        </w:rPr>
      </w:pPr>
      <w:r>
        <w:rPr>
          <w:rFonts w:hint="eastAsia" w:ascii="宋体" w:hAnsi="宋体" w:cs="宋体"/>
          <w:bCs/>
          <w:sz w:val="24"/>
        </w:rPr>
        <w:t>四、与质疑事项相关的质疑请求</w:t>
      </w:r>
    </w:p>
    <w:p>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jc w:val="center"/>
        <w:rPr>
          <w:rFonts w:ascii="宋体" w:hAnsi="宋体" w:cs="宋体"/>
          <w:b/>
          <w:bCs/>
          <w:sz w:val="24"/>
        </w:rPr>
      </w:pPr>
    </w:p>
    <w:p>
      <w:pP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13"/>
      </w:pPr>
    </w:p>
    <w:p>
      <w:pPr>
        <w:spacing w:line="360" w:lineRule="auto"/>
        <w:rPr>
          <w:rFonts w:ascii="宋体" w:hAnsi="宋体" w:cs="宋体"/>
          <w:b/>
          <w:sz w:val="24"/>
        </w:rPr>
      </w:pPr>
      <w:r>
        <w:rPr>
          <w:rFonts w:hint="eastAsia" w:ascii="宋体" w:hAnsi="宋体" w:cs="宋体"/>
          <w:b/>
          <w:sz w:val="24"/>
        </w:rPr>
        <w:t>质疑函制作说明：</w:t>
      </w:r>
    </w:p>
    <w:p>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sz w:val="30"/>
          <w:szCs w:val="30"/>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2024年临江公司汽水取样备件（非标件）采购项目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202408028</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rPr>
          <w:rFonts w:cs="仿宋" w:asciiTheme="minorEastAsia" w:hAnsiTheme="minorEastAsia"/>
          <w:sz w:val="24"/>
        </w:rPr>
      </w:pPr>
      <w:r>
        <w:rPr>
          <w:rFonts w:hint="eastAsia" w:cs="仿宋" w:asciiTheme="minorEastAsia" w:hAnsiTheme="minorEastAsia"/>
          <w:b/>
          <w:bCs/>
          <w:sz w:val="24"/>
        </w:rPr>
        <w:t>附：</w:t>
      </w:r>
    </w:p>
    <w:p>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2024年临江公司汽水取样备件（非标件）采购项目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202408028</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6"/>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3"/>
      </w:pPr>
    </w:p>
    <w:p>
      <w:pPr>
        <w:pStyle w:val="2"/>
      </w:pPr>
    </w:p>
    <w:p>
      <w:pPr>
        <w:pStyle w:val="4"/>
      </w:pPr>
    </w:p>
    <w:p/>
    <w:p>
      <w:pPr>
        <w:pStyle w:val="10"/>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本项目无需提供</w:t>
      </w:r>
      <w:r>
        <w:rPr>
          <w:rFonts w:hint="eastAsia" w:hAnsi="宋体" w:cs="宋体"/>
          <w:b/>
          <w:sz w:val="32"/>
          <w:szCs w:val="32"/>
          <w:lang w:eastAsia="zh-CN"/>
        </w:rPr>
        <w:t>）</w:t>
      </w:r>
    </w:p>
    <w:p>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2024年临江公司汽水取样备件（非标件）采购项目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202408028</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保证金金额（大写）：人民币</w:t>
            </w:r>
          </w:p>
          <w:p>
            <w:pPr>
              <w:spacing w:line="360" w:lineRule="auto"/>
              <w:rPr>
                <w:rFonts w:ascii="宋体" w:hAnsi="宋体" w:cs="宋体"/>
                <w:sz w:val="24"/>
              </w:rPr>
            </w:pPr>
            <w:r>
              <w:rPr>
                <w:rFonts w:hint="eastAsia" w:ascii="宋体" w:hAnsi="宋体" w:cs="宋体"/>
                <w:sz w:val="24"/>
              </w:rPr>
              <w:t xml:space="preserve">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银行账号：</w:t>
            </w:r>
          </w:p>
        </w:tc>
      </w:tr>
    </w:tbl>
    <w:p>
      <w:pPr>
        <w:pStyle w:val="3"/>
        <w:rPr>
          <w:rFonts w:ascii="宋体" w:hAnsi="宋体" w:cs="宋体"/>
        </w:rPr>
      </w:pPr>
    </w:p>
    <w:p>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2024年临江公司汽水取样备件（非标件）采购项目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202408028</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pPr>
        <w:pStyle w:val="10"/>
        <w:rPr>
          <w:rFonts w:hint="eastAsia" w:hAnsi="宋体" w:cs="宋体"/>
          <w:b/>
          <w:bCs/>
          <w:sz w:val="24"/>
        </w:rPr>
      </w:pPr>
    </w:p>
    <w:p>
      <w:pPr>
        <w:pStyle w:val="10"/>
        <w:rPr>
          <w:rFonts w:hint="eastAsia" w:hAnsi="宋体" w:cs="宋体"/>
          <w:b/>
          <w:bCs/>
          <w:sz w:val="24"/>
        </w:rPr>
      </w:pPr>
    </w:p>
    <w:p>
      <w:pPr>
        <w:pStyle w:val="10"/>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仿宋" w:hAnsi="仿宋" w:eastAsia="仿宋" w:cs="仿宋"/>
        <w:i/>
        <w:iCs/>
      </w:rPr>
    </w:pPr>
  </w:p>
  <w:p>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2MjU0MjliNzY2ZGMzMjFmYzlkOGM5YmYyZTk3YTcifQ=="/>
  </w:docVars>
  <w:rsids>
    <w:rsidRoot w:val="004E73AF"/>
    <w:rsid w:val="00211F61"/>
    <w:rsid w:val="00466F38"/>
    <w:rsid w:val="004E73AF"/>
    <w:rsid w:val="00505519"/>
    <w:rsid w:val="00816543"/>
    <w:rsid w:val="00935EC2"/>
    <w:rsid w:val="00C3645A"/>
    <w:rsid w:val="00D00625"/>
    <w:rsid w:val="00DF3633"/>
    <w:rsid w:val="00E81C9E"/>
    <w:rsid w:val="013853AC"/>
    <w:rsid w:val="01603505"/>
    <w:rsid w:val="023E1286"/>
    <w:rsid w:val="029C7664"/>
    <w:rsid w:val="030669ED"/>
    <w:rsid w:val="03114ABC"/>
    <w:rsid w:val="032B7E17"/>
    <w:rsid w:val="034B5FC8"/>
    <w:rsid w:val="03CA5C6D"/>
    <w:rsid w:val="04E634F4"/>
    <w:rsid w:val="057311F3"/>
    <w:rsid w:val="05A4392C"/>
    <w:rsid w:val="05B622F4"/>
    <w:rsid w:val="06803F38"/>
    <w:rsid w:val="06897EFF"/>
    <w:rsid w:val="07013F3A"/>
    <w:rsid w:val="078B333A"/>
    <w:rsid w:val="07A67451"/>
    <w:rsid w:val="07C24B12"/>
    <w:rsid w:val="07D15ABF"/>
    <w:rsid w:val="087E795F"/>
    <w:rsid w:val="09104908"/>
    <w:rsid w:val="09EC7123"/>
    <w:rsid w:val="09ED56C9"/>
    <w:rsid w:val="0A4E3C28"/>
    <w:rsid w:val="0A911B05"/>
    <w:rsid w:val="0B530D41"/>
    <w:rsid w:val="0BF7590B"/>
    <w:rsid w:val="0BFE313E"/>
    <w:rsid w:val="0C177D5B"/>
    <w:rsid w:val="0C2A044F"/>
    <w:rsid w:val="0C492847"/>
    <w:rsid w:val="0CF31D21"/>
    <w:rsid w:val="0D89320B"/>
    <w:rsid w:val="0D8B0B2E"/>
    <w:rsid w:val="0EC870E3"/>
    <w:rsid w:val="0F111837"/>
    <w:rsid w:val="0F2F6501"/>
    <w:rsid w:val="0F81598B"/>
    <w:rsid w:val="0FB91E94"/>
    <w:rsid w:val="10C76755"/>
    <w:rsid w:val="11394A86"/>
    <w:rsid w:val="11B04EDA"/>
    <w:rsid w:val="11C46A46"/>
    <w:rsid w:val="11D64215"/>
    <w:rsid w:val="11F35B37"/>
    <w:rsid w:val="12D86145"/>
    <w:rsid w:val="12E110C3"/>
    <w:rsid w:val="135A601C"/>
    <w:rsid w:val="13AF5667"/>
    <w:rsid w:val="143E2438"/>
    <w:rsid w:val="14DF7D0B"/>
    <w:rsid w:val="152B7330"/>
    <w:rsid w:val="152C0D1B"/>
    <w:rsid w:val="15CB2DA0"/>
    <w:rsid w:val="16135A37"/>
    <w:rsid w:val="166F3635"/>
    <w:rsid w:val="16806E74"/>
    <w:rsid w:val="171360CB"/>
    <w:rsid w:val="17AF353E"/>
    <w:rsid w:val="185870FA"/>
    <w:rsid w:val="185A544F"/>
    <w:rsid w:val="18890233"/>
    <w:rsid w:val="18A60DE5"/>
    <w:rsid w:val="190D49C0"/>
    <w:rsid w:val="198737C7"/>
    <w:rsid w:val="19976A31"/>
    <w:rsid w:val="19DC6BDA"/>
    <w:rsid w:val="1A4B1C44"/>
    <w:rsid w:val="1AA56FDE"/>
    <w:rsid w:val="1B1B25BA"/>
    <w:rsid w:val="1B7913A6"/>
    <w:rsid w:val="1D61352C"/>
    <w:rsid w:val="1D882867"/>
    <w:rsid w:val="1DCF6B00"/>
    <w:rsid w:val="1DFA0457"/>
    <w:rsid w:val="1E5F5CBE"/>
    <w:rsid w:val="1E8307F5"/>
    <w:rsid w:val="1F091456"/>
    <w:rsid w:val="1F457921"/>
    <w:rsid w:val="20457135"/>
    <w:rsid w:val="20D12777"/>
    <w:rsid w:val="20FB672E"/>
    <w:rsid w:val="213339C4"/>
    <w:rsid w:val="21677697"/>
    <w:rsid w:val="21C81DCC"/>
    <w:rsid w:val="228D26CE"/>
    <w:rsid w:val="22916FA5"/>
    <w:rsid w:val="230E1A60"/>
    <w:rsid w:val="23922209"/>
    <w:rsid w:val="23C64579"/>
    <w:rsid w:val="247C6E9E"/>
    <w:rsid w:val="25650E5F"/>
    <w:rsid w:val="2569246D"/>
    <w:rsid w:val="25C26B32"/>
    <w:rsid w:val="26010880"/>
    <w:rsid w:val="26C2328E"/>
    <w:rsid w:val="26F15921"/>
    <w:rsid w:val="27725FDB"/>
    <w:rsid w:val="279027DB"/>
    <w:rsid w:val="28261749"/>
    <w:rsid w:val="28D92620"/>
    <w:rsid w:val="294E0F60"/>
    <w:rsid w:val="2987716A"/>
    <w:rsid w:val="29AE18A7"/>
    <w:rsid w:val="2A6366FF"/>
    <w:rsid w:val="2B3D5BF4"/>
    <w:rsid w:val="2C4141D8"/>
    <w:rsid w:val="2C950AFD"/>
    <w:rsid w:val="2D210C4A"/>
    <w:rsid w:val="2D856C21"/>
    <w:rsid w:val="2E7A56DC"/>
    <w:rsid w:val="2E9F315C"/>
    <w:rsid w:val="2E9F5DB1"/>
    <w:rsid w:val="2EBA484A"/>
    <w:rsid w:val="2F4D3609"/>
    <w:rsid w:val="2F5836E9"/>
    <w:rsid w:val="300206D5"/>
    <w:rsid w:val="30062480"/>
    <w:rsid w:val="30556F21"/>
    <w:rsid w:val="308C5F1F"/>
    <w:rsid w:val="30AF5EDA"/>
    <w:rsid w:val="31111553"/>
    <w:rsid w:val="31191AA6"/>
    <w:rsid w:val="314B6E80"/>
    <w:rsid w:val="326E6078"/>
    <w:rsid w:val="32843E96"/>
    <w:rsid w:val="32C410E7"/>
    <w:rsid w:val="32EC2577"/>
    <w:rsid w:val="334341C1"/>
    <w:rsid w:val="34155E66"/>
    <w:rsid w:val="34321955"/>
    <w:rsid w:val="34454474"/>
    <w:rsid w:val="34AF40BC"/>
    <w:rsid w:val="36162BCB"/>
    <w:rsid w:val="364530C9"/>
    <w:rsid w:val="36483084"/>
    <w:rsid w:val="36A71B58"/>
    <w:rsid w:val="37103BA1"/>
    <w:rsid w:val="37514AF4"/>
    <w:rsid w:val="377C0298"/>
    <w:rsid w:val="37B04D36"/>
    <w:rsid w:val="37C65D75"/>
    <w:rsid w:val="37D2523E"/>
    <w:rsid w:val="39C31C6C"/>
    <w:rsid w:val="3A6303AE"/>
    <w:rsid w:val="3A993EAE"/>
    <w:rsid w:val="3AB61186"/>
    <w:rsid w:val="3B4E5365"/>
    <w:rsid w:val="3C283344"/>
    <w:rsid w:val="3C485F9D"/>
    <w:rsid w:val="3C7C70D7"/>
    <w:rsid w:val="3C940DD1"/>
    <w:rsid w:val="3E0C6463"/>
    <w:rsid w:val="3EE43BF5"/>
    <w:rsid w:val="403E57B7"/>
    <w:rsid w:val="411A0F39"/>
    <w:rsid w:val="415A3828"/>
    <w:rsid w:val="415A5C88"/>
    <w:rsid w:val="41CE08E1"/>
    <w:rsid w:val="42112513"/>
    <w:rsid w:val="433C7ACC"/>
    <w:rsid w:val="435518AD"/>
    <w:rsid w:val="43C04259"/>
    <w:rsid w:val="43C354C4"/>
    <w:rsid w:val="43EB4D91"/>
    <w:rsid w:val="44A040E0"/>
    <w:rsid w:val="44C67F95"/>
    <w:rsid w:val="44F22D84"/>
    <w:rsid w:val="4557347D"/>
    <w:rsid w:val="4559568A"/>
    <w:rsid w:val="45A47533"/>
    <w:rsid w:val="45F97EF6"/>
    <w:rsid w:val="46445615"/>
    <w:rsid w:val="46BC402D"/>
    <w:rsid w:val="472961BF"/>
    <w:rsid w:val="475528CD"/>
    <w:rsid w:val="47B265AF"/>
    <w:rsid w:val="4916491B"/>
    <w:rsid w:val="496717C4"/>
    <w:rsid w:val="4992015A"/>
    <w:rsid w:val="49ED38CE"/>
    <w:rsid w:val="4A063A4F"/>
    <w:rsid w:val="4A875AD1"/>
    <w:rsid w:val="4AE27CAC"/>
    <w:rsid w:val="4B1B2ECF"/>
    <w:rsid w:val="4B2E6F39"/>
    <w:rsid w:val="4B6E282F"/>
    <w:rsid w:val="4BAC48C9"/>
    <w:rsid w:val="4BB27DC6"/>
    <w:rsid w:val="4C192E4D"/>
    <w:rsid w:val="4CD52BD1"/>
    <w:rsid w:val="4CEA2347"/>
    <w:rsid w:val="4D19039B"/>
    <w:rsid w:val="4D243428"/>
    <w:rsid w:val="4D2D7FC0"/>
    <w:rsid w:val="4DA84D66"/>
    <w:rsid w:val="4E1E04FA"/>
    <w:rsid w:val="4E604FB7"/>
    <w:rsid w:val="4EFA25EF"/>
    <w:rsid w:val="4F2C043D"/>
    <w:rsid w:val="4F602E30"/>
    <w:rsid w:val="4F9246A8"/>
    <w:rsid w:val="4FBC621D"/>
    <w:rsid w:val="4FC275AB"/>
    <w:rsid w:val="4FEB08B0"/>
    <w:rsid w:val="50A13664"/>
    <w:rsid w:val="51937E4D"/>
    <w:rsid w:val="52383592"/>
    <w:rsid w:val="523875F5"/>
    <w:rsid w:val="52506204"/>
    <w:rsid w:val="52665BE8"/>
    <w:rsid w:val="52BE22AC"/>
    <w:rsid w:val="534456B9"/>
    <w:rsid w:val="53A12ADF"/>
    <w:rsid w:val="53FA1DF3"/>
    <w:rsid w:val="54AA2A85"/>
    <w:rsid w:val="54AB2D04"/>
    <w:rsid w:val="557B35BC"/>
    <w:rsid w:val="565C1CF5"/>
    <w:rsid w:val="56E235EF"/>
    <w:rsid w:val="571F3A0C"/>
    <w:rsid w:val="57DC32D5"/>
    <w:rsid w:val="57F2034A"/>
    <w:rsid w:val="58207565"/>
    <w:rsid w:val="58235318"/>
    <w:rsid w:val="59121C77"/>
    <w:rsid w:val="59DE0E09"/>
    <w:rsid w:val="59DF6851"/>
    <w:rsid w:val="5A283DD0"/>
    <w:rsid w:val="5ACD76EE"/>
    <w:rsid w:val="5AD36B10"/>
    <w:rsid w:val="5B366E46"/>
    <w:rsid w:val="5B3D7F5F"/>
    <w:rsid w:val="5B460326"/>
    <w:rsid w:val="5C7B276E"/>
    <w:rsid w:val="5C9A592C"/>
    <w:rsid w:val="5DF85390"/>
    <w:rsid w:val="5E8E347A"/>
    <w:rsid w:val="5EB97875"/>
    <w:rsid w:val="5F0279C4"/>
    <w:rsid w:val="5F944466"/>
    <w:rsid w:val="5FBE7D8F"/>
    <w:rsid w:val="60470EFE"/>
    <w:rsid w:val="60844C26"/>
    <w:rsid w:val="609617DE"/>
    <w:rsid w:val="60A9029A"/>
    <w:rsid w:val="60DA29A7"/>
    <w:rsid w:val="60FA16F8"/>
    <w:rsid w:val="6139287F"/>
    <w:rsid w:val="61CA0C65"/>
    <w:rsid w:val="62C642C8"/>
    <w:rsid w:val="631B2246"/>
    <w:rsid w:val="6320666B"/>
    <w:rsid w:val="63CF15A0"/>
    <w:rsid w:val="64055963"/>
    <w:rsid w:val="6509228E"/>
    <w:rsid w:val="651255BC"/>
    <w:rsid w:val="655D65FD"/>
    <w:rsid w:val="65A92947"/>
    <w:rsid w:val="661A50B7"/>
    <w:rsid w:val="664B13EA"/>
    <w:rsid w:val="66976C44"/>
    <w:rsid w:val="66F30BCE"/>
    <w:rsid w:val="673C0170"/>
    <w:rsid w:val="673E5F91"/>
    <w:rsid w:val="677A6041"/>
    <w:rsid w:val="67BC07C3"/>
    <w:rsid w:val="67D6317A"/>
    <w:rsid w:val="67D649B5"/>
    <w:rsid w:val="68ED6365"/>
    <w:rsid w:val="690F3AB7"/>
    <w:rsid w:val="6A4E3ABD"/>
    <w:rsid w:val="6AE63D7E"/>
    <w:rsid w:val="6B420679"/>
    <w:rsid w:val="6B462C2B"/>
    <w:rsid w:val="6B8359E9"/>
    <w:rsid w:val="6BB076CA"/>
    <w:rsid w:val="6BD277B9"/>
    <w:rsid w:val="6C321620"/>
    <w:rsid w:val="6CE30E35"/>
    <w:rsid w:val="6DA02882"/>
    <w:rsid w:val="6DA12E69"/>
    <w:rsid w:val="6DBB3B60"/>
    <w:rsid w:val="6E2C6F5B"/>
    <w:rsid w:val="6E785E0E"/>
    <w:rsid w:val="6F0B4673"/>
    <w:rsid w:val="6F4831D1"/>
    <w:rsid w:val="70045698"/>
    <w:rsid w:val="700E4F44"/>
    <w:rsid w:val="70124E0E"/>
    <w:rsid w:val="70173239"/>
    <w:rsid w:val="711D3FA5"/>
    <w:rsid w:val="721A5B23"/>
    <w:rsid w:val="72B931C1"/>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9017606"/>
    <w:rsid w:val="79D7762B"/>
    <w:rsid w:val="79EB254B"/>
    <w:rsid w:val="7A154A37"/>
    <w:rsid w:val="7BA82ABD"/>
    <w:rsid w:val="7C757EAB"/>
    <w:rsid w:val="7D0A41BC"/>
    <w:rsid w:val="7D0A4B32"/>
    <w:rsid w:val="7D797C2B"/>
    <w:rsid w:val="7D823D52"/>
    <w:rsid w:val="7DAC6A56"/>
    <w:rsid w:val="7E381ACE"/>
    <w:rsid w:val="7EF742CC"/>
    <w:rsid w:val="7F272F7D"/>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6">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7">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next w:val="4"/>
    <w:autoRedefine/>
    <w:qFormat/>
    <w:uiPriority w:val="0"/>
    <w:pPr>
      <w:ind w:firstLine="420"/>
    </w:pPr>
    <w:rPr>
      <w:rFonts w:hAnsi="Times New Roman" w:cs="Times New Roman"/>
      <w:snapToGrid/>
      <w:szCs w:val="20"/>
    </w:rPr>
  </w:style>
  <w:style w:type="paragraph" w:styleId="3">
    <w:name w:val="Body Text"/>
    <w:basedOn w:val="1"/>
    <w:next w:val="2"/>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4">
    <w:name w:val="toc 6"/>
    <w:basedOn w:val="1"/>
    <w:next w:val="1"/>
    <w:autoRedefine/>
    <w:qFormat/>
    <w:uiPriority w:val="0"/>
    <w:pPr>
      <w:ind w:left="2100" w:leftChars="1000"/>
    </w:pPr>
  </w:style>
  <w:style w:type="paragraph" w:styleId="8">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pPr>
      <w:jc w:val="left"/>
    </w:pPr>
    <w:rPr>
      <w:b/>
      <w:caps/>
    </w:r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5"/>
    <w:autoRedefine/>
    <w:qFormat/>
    <w:uiPriority w:val="0"/>
  </w:style>
  <w:style w:type="character" w:customStyle="1" w:styleId="33">
    <w:name w:val="font31"/>
    <w:basedOn w:val="17"/>
    <w:autoRedefine/>
    <w:qFormat/>
    <w:uiPriority w:val="0"/>
    <w:rPr>
      <w:rFonts w:hint="eastAsia" w:ascii="宋体" w:hAnsi="宋体" w:eastAsia="宋体" w:cs="宋体"/>
      <w:color w:val="000000"/>
      <w:sz w:val="20"/>
      <w:szCs w:val="20"/>
      <w:u w:val="none"/>
    </w:rPr>
  </w:style>
  <w:style w:type="character" w:customStyle="1" w:styleId="34">
    <w:name w:val="font21"/>
    <w:basedOn w:val="17"/>
    <w:autoRedefine/>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3.jpeg"/><Relationship Id="rId24" Type="http://schemas.openxmlformats.org/officeDocument/2006/relationships/image" Target="media/image2.jpeg"/><Relationship Id="rId23" Type="http://schemas.openxmlformats.org/officeDocument/2006/relationships/image" Target="media/image1.jpe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28158</Words>
  <Characters>29932</Characters>
  <Lines>224</Lines>
  <Paragraphs>63</Paragraphs>
  <TotalTime>24</TotalTime>
  <ScaleCrop>false</ScaleCrop>
  <LinksUpToDate>false</LinksUpToDate>
  <CharactersWithSpaces>33126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陈培</cp:lastModifiedBy>
  <dcterms:modified xsi:type="dcterms:W3CDTF">2024-09-04T01:24:49Z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FE08141DBDE04979B037C7D423AC3B12_13</vt:lpwstr>
  </property>
</Properties>
</file>